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5BBB">
      <w:pPr>
        <w:pStyle w:val="2"/>
        <w:spacing w:line="247" w:lineRule="auto"/>
      </w:pPr>
    </w:p>
    <w:p w14:paraId="757CECCC">
      <w:pPr>
        <w:pStyle w:val="2"/>
        <w:spacing w:line="247" w:lineRule="auto"/>
      </w:pPr>
    </w:p>
    <w:p w14:paraId="4FC37912">
      <w:pPr>
        <w:pStyle w:val="2"/>
        <w:spacing w:line="247" w:lineRule="auto"/>
      </w:pPr>
    </w:p>
    <w:p w14:paraId="0DBC2DD8">
      <w:pPr>
        <w:pStyle w:val="2"/>
        <w:spacing w:line="247" w:lineRule="auto"/>
      </w:pPr>
    </w:p>
    <w:p w14:paraId="4A8B557D">
      <w:pPr>
        <w:pStyle w:val="2"/>
        <w:spacing w:line="248" w:lineRule="auto"/>
      </w:pPr>
    </w:p>
    <w:p w14:paraId="76F83BB6">
      <w:pPr>
        <w:pStyle w:val="2"/>
        <w:spacing w:line="248" w:lineRule="auto"/>
      </w:pPr>
    </w:p>
    <w:p w14:paraId="6697FCB9">
      <w:pPr>
        <w:pStyle w:val="2"/>
        <w:spacing w:line="248" w:lineRule="auto"/>
      </w:pPr>
    </w:p>
    <w:p w14:paraId="2BC085FD">
      <w:pPr>
        <w:pStyle w:val="2"/>
        <w:spacing w:line="248" w:lineRule="auto"/>
      </w:pPr>
    </w:p>
    <w:p w14:paraId="75FB1EBC">
      <w:pPr>
        <w:spacing w:before="139" w:line="222" w:lineRule="auto"/>
        <w:ind w:left="266"/>
        <w:outlineLvl w:val="1"/>
        <w:rPr>
          <w:rFonts w:ascii="黑体" w:hAnsi="黑体" w:eastAsia="黑体" w:cs="黑体"/>
          <w:sz w:val="43"/>
          <w:szCs w:val="43"/>
        </w:rPr>
      </w:pPr>
      <w:bookmarkStart w:id="0" w:name="bookmark49"/>
      <w:bookmarkEnd w:id="0"/>
      <w:bookmarkStart w:id="1" w:name="bookmark50"/>
      <w:bookmarkEnd w:id="1"/>
      <w:r>
        <w:rPr>
          <w:rFonts w:ascii="黑体" w:hAnsi="黑体" w:eastAsia="黑体" w:cs="黑体"/>
          <w:spacing w:val="7"/>
          <w:sz w:val="43"/>
          <w:szCs w:val="43"/>
        </w:rPr>
        <w:t>第三章评标办法（技术评分最低标价法）</w:t>
      </w:r>
    </w:p>
    <w:p w14:paraId="1D9A5AC6">
      <w:pPr>
        <w:spacing w:before="292" w:line="231" w:lineRule="auto"/>
        <w:ind w:left="121"/>
        <w:rPr>
          <w:rFonts w:ascii="黑体" w:hAnsi="黑体" w:eastAsia="黑体" w:cs="黑体"/>
          <w:sz w:val="12"/>
          <w:szCs w:val="12"/>
        </w:rPr>
      </w:pPr>
      <w:r>
        <w:rPr>
          <w:rFonts w:ascii="黑体" w:hAnsi="黑体" w:eastAsia="黑体" w:cs="黑体"/>
          <w:spacing w:val="-2"/>
          <w:sz w:val="24"/>
          <w:szCs w:val="24"/>
        </w:rPr>
        <w:t>评标办法前附表</w:t>
      </w:r>
      <w:r>
        <w:rPr>
          <w:rFonts w:ascii="黑体" w:hAnsi="黑体" w:eastAsia="黑体" w:cs="黑体"/>
          <w:spacing w:val="-2"/>
          <w:position w:val="11"/>
          <w:sz w:val="12"/>
          <w:szCs w:val="12"/>
        </w:rPr>
        <w:t>①</w:t>
      </w:r>
    </w:p>
    <w:p w14:paraId="3684C8BF">
      <w:pPr>
        <w:spacing w:before="9"/>
      </w:pPr>
    </w:p>
    <w:tbl>
      <w:tblPr>
        <w:tblStyle w:val="7"/>
        <w:tblW w:w="8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735"/>
        <w:gridCol w:w="5578"/>
      </w:tblGrid>
      <w:tr w14:paraId="17136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960" w:type="dxa"/>
            <w:gridSpan w:val="2"/>
            <w:vAlign w:val="top"/>
          </w:tcPr>
          <w:p w14:paraId="36415497">
            <w:pPr>
              <w:pStyle w:val="6"/>
              <w:spacing w:before="34" w:line="207" w:lineRule="auto"/>
              <w:ind w:left="1171"/>
            </w:pPr>
            <w:r>
              <w:rPr>
                <w:b/>
                <w:bCs/>
                <w:spacing w:val="-4"/>
              </w:rPr>
              <w:t>条款号</w:t>
            </w:r>
          </w:p>
        </w:tc>
        <w:tc>
          <w:tcPr>
            <w:tcW w:w="5578" w:type="dxa"/>
            <w:vAlign w:val="top"/>
          </w:tcPr>
          <w:p w14:paraId="3B985079">
            <w:pPr>
              <w:pStyle w:val="6"/>
              <w:spacing w:before="34" w:line="207" w:lineRule="auto"/>
              <w:ind w:left="1840"/>
            </w:pPr>
            <w:r>
              <w:rPr>
                <w:b/>
                <w:bCs/>
                <w:spacing w:val="-2"/>
              </w:rPr>
              <w:t>评审因素与评审标准</w:t>
            </w:r>
          </w:p>
        </w:tc>
      </w:tr>
      <w:tr w14:paraId="4DA8D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6" w:hRule="atLeast"/>
        </w:trPr>
        <w:tc>
          <w:tcPr>
            <w:tcW w:w="1225" w:type="dxa"/>
            <w:vAlign w:val="top"/>
          </w:tcPr>
          <w:p w14:paraId="4477082A">
            <w:pPr>
              <w:spacing w:line="259" w:lineRule="auto"/>
              <w:rPr>
                <w:rFonts w:ascii="Arial"/>
                <w:sz w:val="21"/>
              </w:rPr>
            </w:pPr>
          </w:p>
          <w:p w14:paraId="03DBC706">
            <w:pPr>
              <w:spacing w:line="259" w:lineRule="auto"/>
              <w:rPr>
                <w:rFonts w:ascii="Arial"/>
                <w:sz w:val="21"/>
              </w:rPr>
            </w:pPr>
          </w:p>
          <w:p w14:paraId="5550A4BB">
            <w:pPr>
              <w:spacing w:line="260" w:lineRule="auto"/>
              <w:rPr>
                <w:rFonts w:ascii="Arial"/>
                <w:sz w:val="21"/>
              </w:rPr>
            </w:pPr>
          </w:p>
          <w:p w14:paraId="24AD65EA">
            <w:pPr>
              <w:spacing w:line="260" w:lineRule="auto"/>
              <w:rPr>
                <w:rFonts w:ascii="Arial"/>
                <w:sz w:val="21"/>
              </w:rPr>
            </w:pPr>
          </w:p>
          <w:p w14:paraId="1721C80A">
            <w:pPr>
              <w:spacing w:line="260" w:lineRule="auto"/>
              <w:rPr>
                <w:rFonts w:ascii="Arial"/>
                <w:sz w:val="21"/>
              </w:rPr>
            </w:pPr>
          </w:p>
          <w:p w14:paraId="10973085">
            <w:pPr>
              <w:spacing w:before="65" w:line="179" w:lineRule="auto"/>
              <w:ind w:left="574"/>
              <w:rPr>
                <w:rFonts w:ascii="Calibri" w:hAnsi="Calibri" w:eastAsia="Calibri" w:cs="Calibri"/>
                <w:sz w:val="21"/>
                <w:szCs w:val="21"/>
              </w:rPr>
            </w:pPr>
            <w:r>
              <w:rPr>
                <w:rFonts w:ascii="Calibri" w:hAnsi="Calibri" w:eastAsia="Calibri" w:cs="Calibri"/>
                <w:sz w:val="21"/>
                <w:szCs w:val="21"/>
              </w:rPr>
              <w:t>1</w:t>
            </w:r>
          </w:p>
        </w:tc>
        <w:tc>
          <w:tcPr>
            <w:tcW w:w="1735" w:type="dxa"/>
            <w:vAlign w:val="top"/>
          </w:tcPr>
          <w:p w14:paraId="43999017">
            <w:pPr>
              <w:spacing w:line="249" w:lineRule="auto"/>
              <w:rPr>
                <w:rFonts w:ascii="Arial"/>
                <w:sz w:val="21"/>
              </w:rPr>
            </w:pPr>
          </w:p>
          <w:p w14:paraId="699C81D2">
            <w:pPr>
              <w:spacing w:line="249" w:lineRule="auto"/>
              <w:rPr>
                <w:rFonts w:ascii="Arial"/>
                <w:sz w:val="21"/>
              </w:rPr>
            </w:pPr>
          </w:p>
          <w:p w14:paraId="79D8BAC8">
            <w:pPr>
              <w:spacing w:line="250" w:lineRule="auto"/>
              <w:rPr>
                <w:rFonts w:ascii="Arial"/>
                <w:sz w:val="21"/>
              </w:rPr>
            </w:pPr>
          </w:p>
          <w:p w14:paraId="63C6BC31">
            <w:pPr>
              <w:spacing w:line="250" w:lineRule="auto"/>
              <w:rPr>
                <w:rFonts w:ascii="Arial"/>
                <w:sz w:val="21"/>
              </w:rPr>
            </w:pPr>
          </w:p>
          <w:p w14:paraId="086CFD34">
            <w:pPr>
              <w:spacing w:line="250" w:lineRule="auto"/>
              <w:rPr>
                <w:rFonts w:ascii="Arial"/>
                <w:sz w:val="21"/>
              </w:rPr>
            </w:pPr>
          </w:p>
          <w:p w14:paraId="47909CA4">
            <w:pPr>
              <w:pStyle w:val="6"/>
              <w:spacing w:before="69" w:line="221" w:lineRule="auto"/>
              <w:ind w:left="450"/>
            </w:pPr>
            <w:r>
              <w:rPr>
                <w:spacing w:val="-1"/>
              </w:rPr>
              <w:t>评标方法</w:t>
            </w:r>
          </w:p>
        </w:tc>
        <w:tc>
          <w:tcPr>
            <w:tcW w:w="5578" w:type="dxa"/>
            <w:vAlign w:val="top"/>
          </w:tcPr>
          <w:p w14:paraId="68E8E458">
            <w:pPr>
              <w:pStyle w:val="6"/>
              <w:spacing w:before="30" w:line="347" w:lineRule="auto"/>
              <w:ind w:left="111" w:right="115" w:firstLine="418"/>
            </w:pPr>
            <w:r>
              <w:rPr>
                <w:spacing w:val="4"/>
              </w:rPr>
              <w:t>评标价相等时，评标委员会依次按照以下优先顺序推</w:t>
            </w:r>
            <w:r>
              <w:rPr>
                <w:spacing w:val="-3"/>
              </w:rPr>
              <w:t>荐中标候选人或确定中标人：</w:t>
            </w:r>
          </w:p>
          <w:p w14:paraId="30BF8302">
            <w:pPr>
              <w:pStyle w:val="6"/>
              <w:spacing w:before="29" w:line="219" w:lineRule="auto"/>
              <w:ind w:left="537"/>
            </w:pPr>
            <w:r>
              <w:rPr>
                <w:spacing w:val="-3"/>
              </w:rPr>
              <w:t>（</w:t>
            </w:r>
            <w:r>
              <w:rPr>
                <w:rFonts w:ascii="Calibri" w:hAnsi="Calibri" w:eastAsia="Calibri" w:cs="Calibri"/>
                <w:spacing w:val="-3"/>
              </w:rPr>
              <w:t>1</w:t>
            </w:r>
            <w:r>
              <w:rPr>
                <w:spacing w:val="-3"/>
              </w:rPr>
              <w:t>）投标报价低的投标人优先；</w:t>
            </w:r>
          </w:p>
          <w:p w14:paraId="3669B953">
            <w:pPr>
              <w:pStyle w:val="6"/>
              <w:spacing w:before="158" w:line="290" w:lineRule="auto"/>
              <w:ind w:left="116" w:right="116" w:firstLine="420"/>
            </w:pPr>
            <w:r>
              <w:rPr>
                <w:spacing w:val="-1"/>
              </w:rPr>
              <w:t>（</w:t>
            </w:r>
            <w:r>
              <w:rPr>
                <w:rFonts w:ascii="Calibri" w:hAnsi="Calibri" w:eastAsia="Calibri" w:cs="Calibri"/>
                <w:spacing w:val="-1"/>
              </w:rPr>
              <w:t>2</w:t>
            </w:r>
            <w:r>
              <w:rPr>
                <w:spacing w:val="-1"/>
              </w:rPr>
              <w:t>）被招标项目所在地省级交通运输主管部门评为较高信用等级的投标人优先；</w:t>
            </w:r>
          </w:p>
          <w:p w14:paraId="0DF4AF4C">
            <w:pPr>
              <w:pStyle w:val="6"/>
              <w:spacing w:before="158" w:line="296" w:lineRule="auto"/>
              <w:ind w:left="537" w:right="1209"/>
            </w:pPr>
            <w:r>
              <w:rPr>
                <w:spacing w:val="-4"/>
              </w:rPr>
              <w:t>（</w:t>
            </w:r>
            <w:r>
              <w:rPr>
                <w:rFonts w:ascii="Calibri" w:hAnsi="Calibri" w:eastAsia="Calibri" w:cs="Calibri"/>
                <w:spacing w:val="-4"/>
              </w:rPr>
              <w:t>3</w:t>
            </w:r>
            <w:r>
              <w:rPr>
                <w:spacing w:val="-4"/>
              </w:rPr>
              <w:t>）商务和技术得分较高的投标人优先；</w:t>
            </w:r>
            <w:r>
              <w:rPr>
                <w:spacing w:val="-5"/>
              </w:rPr>
              <w:t>（</w:t>
            </w:r>
            <w:r>
              <w:rPr>
                <w:rFonts w:ascii="Calibri" w:hAnsi="Calibri" w:eastAsia="Calibri" w:cs="Calibri"/>
                <w:spacing w:val="-5"/>
              </w:rPr>
              <w:t>4</w:t>
            </w:r>
            <w:r>
              <w:rPr>
                <w:spacing w:val="-5"/>
              </w:rPr>
              <w:t>）</w:t>
            </w:r>
          </w:p>
        </w:tc>
      </w:tr>
    </w:tbl>
    <w:p w14:paraId="39A6FAF0">
      <w:pPr>
        <w:spacing w:before="9"/>
      </w:pPr>
    </w:p>
    <w:p w14:paraId="7B4D903A">
      <w:pPr>
        <w:spacing w:before="9"/>
      </w:pPr>
    </w:p>
    <w:tbl>
      <w:tblPr>
        <w:tblStyle w:val="7"/>
        <w:tblW w:w="853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2"/>
        <w:gridCol w:w="1375"/>
        <w:gridCol w:w="5856"/>
      </w:tblGrid>
      <w:tr w14:paraId="4FBF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8" w:hRule="atLeast"/>
        </w:trPr>
        <w:tc>
          <w:tcPr>
            <w:tcW w:w="1302" w:type="dxa"/>
            <w:vAlign w:val="top"/>
          </w:tcPr>
          <w:p w14:paraId="13060B4D">
            <w:pPr>
              <w:spacing w:line="246" w:lineRule="auto"/>
              <w:rPr>
                <w:rFonts w:ascii="Arial"/>
                <w:sz w:val="21"/>
              </w:rPr>
            </w:pPr>
          </w:p>
          <w:p w14:paraId="1262BF87">
            <w:pPr>
              <w:spacing w:line="246" w:lineRule="auto"/>
              <w:rPr>
                <w:rFonts w:ascii="Arial"/>
                <w:sz w:val="21"/>
              </w:rPr>
            </w:pPr>
          </w:p>
          <w:p w14:paraId="278B07BF">
            <w:pPr>
              <w:spacing w:line="246" w:lineRule="auto"/>
              <w:rPr>
                <w:rFonts w:ascii="Arial"/>
                <w:sz w:val="21"/>
              </w:rPr>
            </w:pPr>
          </w:p>
          <w:p w14:paraId="43EB00C7">
            <w:pPr>
              <w:spacing w:line="246" w:lineRule="auto"/>
              <w:rPr>
                <w:rFonts w:ascii="Arial"/>
                <w:sz w:val="21"/>
              </w:rPr>
            </w:pPr>
          </w:p>
          <w:p w14:paraId="1DC7A1AD">
            <w:pPr>
              <w:spacing w:line="247" w:lineRule="auto"/>
              <w:rPr>
                <w:rFonts w:ascii="Arial"/>
                <w:sz w:val="21"/>
              </w:rPr>
            </w:pPr>
          </w:p>
          <w:p w14:paraId="4ECEFF56">
            <w:pPr>
              <w:spacing w:line="247" w:lineRule="auto"/>
              <w:rPr>
                <w:rFonts w:ascii="Arial"/>
                <w:sz w:val="21"/>
              </w:rPr>
            </w:pPr>
          </w:p>
          <w:p w14:paraId="5554D187">
            <w:pPr>
              <w:spacing w:line="247" w:lineRule="auto"/>
              <w:rPr>
                <w:rFonts w:ascii="Arial"/>
                <w:sz w:val="21"/>
              </w:rPr>
            </w:pPr>
          </w:p>
          <w:p w14:paraId="5F3CDCAB">
            <w:pPr>
              <w:spacing w:line="247" w:lineRule="auto"/>
              <w:rPr>
                <w:rFonts w:ascii="Arial"/>
                <w:sz w:val="21"/>
              </w:rPr>
            </w:pPr>
          </w:p>
          <w:p w14:paraId="4E5F07BA">
            <w:pPr>
              <w:spacing w:line="247" w:lineRule="auto"/>
              <w:rPr>
                <w:rFonts w:ascii="Arial"/>
                <w:sz w:val="21"/>
              </w:rPr>
            </w:pPr>
          </w:p>
          <w:p w14:paraId="4328683E">
            <w:pPr>
              <w:spacing w:line="247" w:lineRule="auto"/>
              <w:rPr>
                <w:rFonts w:ascii="Arial"/>
                <w:sz w:val="21"/>
              </w:rPr>
            </w:pPr>
          </w:p>
          <w:p w14:paraId="3A661E49">
            <w:pPr>
              <w:spacing w:line="247" w:lineRule="auto"/>
              <w:rPr>
                <w:rFonts w:ascii="Arial"/>
                <w:sz w:val="21"/>
              </w:rPr>
            </w:pPr>
          </w:p>
          <w:p w14:paraId="0144CB48">
            <w:pPr>
              <w:spacing w:line="247" w:lineRule="auto"/>
              <w:rPr>
                <w:rFonts w:ascii="Arial"/>
                <w:sz w:val="21"/>
              </w:rPr>
            </w:pPr>
          </w:p>
          <w:p w14:paraId="11C0BF1F">
            <w:pPr>
              <w:spacing w:line="247" w:lineRule="auto"/>
              <w:rPr>
                <w:rFonts w:ascii="Arial"/>
                <w:sz w:val="21"/>
              </w:rPr>
            </w:pPr>
          </w:p>
          <w:p w14:paraId="0168B3C1">
            <w:pPr>
              <w:pStyle w:val="6"/>
              <w:spacing w:before="69" w:line="246" w:lineRule="auto"/>
              <w:ind w:left="394" w:right="385"/>
            </w:pPr>
            <w:r>
              <w:rPr>
                <w:spacing w:val="-2"/>
              </w:rPr>
              <w:t>2.1.12.1.3</w:t>
            </w:r>
          </w:p>
        </w:tc>
        <w:tc>
          <w:tcPr>
            <w:tcW w:w="1375" w:type="dxa"/>
            <w:vAlign w:val="top"/>
          </w:tcPr>
          <w:p w14:paraId="08755284">
            <w:pPr>
              <w:spacing w:line="253" w:lineRule="auto"/>
              <w:rPr>
                <w:rFonts w:ascii="Arial"/>
                <w:sz w:val="21"/>
              </w:rPr>
            </w:pPr>
          </w:p>
          <w:p w14:paraId="2DA4D533">
            <w:pPr>
              <w:spacing w:line="253" w:lineRule="auto"/>
              <w:rPr>
                <w:rFonts w:ascii="Arial"/>
                <w:sz w:val="21"/>
              </w:rPr>
            </w:pPr>
          </w:p>
          <w:p w14:paraId="4A83838D">
            <w:pPr>
              <w:spacing w:line="253" w:lineRule="auto"/>
              <w:rPr>
                <w:rFonts w:ascii="Arial"/>
                <w:sz w:val="21"/>
              </w:rPr>
            </w:pPr>
          </w:p>
          <w:p w14:paraId="2E9699FE">
            <w:pPr>
              <w:spacing w:line="253" w:lineRule="auto"/>
              <w:rPr>
                <w:rFonts w:ascii="Arial"/>
                <w:sz w:val="21"/>
              </w:rPr>
            </w:pPr>
          </w:p>
          <w:p w14:paraId="01B32EB4">
            <w:pPr>
              <w:spacing w:line="253" w:lineRule="auto"/>
              <w:rPr>
                <w:rFonts w:ascii="Arial"/>
                <w:sz w:val="21"/>
              </w:rPr>
            </w:pPr>
          </w:p>
          <w:p w14:paraId="142873E0">
            <w:pPr>
              <w:spacing w:line="253" w:lineRule="auto"/>
              <w:rPr>
                <w:rFonts w:ascii="Arial"/>
                <w:sz w:val="21"/>
              </w:rPr>
            </w:pPr>
          </w:p>
          <w:p w14:paraId="19A63FCF">
            <w:pPr>
              <w:spacing w:line="253" w:lineRule="auto"/>
              <w:rPr>
                <w:rFonts w:ascii="Arial"/>
                <w:sz w:val="21"/>
              </w:rPr>
            </w:pPr>
          </w:p>
          <w:p w14:paraId="67C7989D">
            <w:pPr>
              <w:spacing w:line="253" w:lineRule="auto"/>
              <w:rPr>
                <w:rFonts w:ascii="Arial"/>
                <w:sz w:val="21"/>
              </w:rPr>
            </w:pPr>
          </w:p>
          <w:p w14:paraId="3ABB6887">
            <w:pPr>
              <w:spacing w:line="253" w:lineRule="auto"/>
              <w:rPr>
                <w:rFonts w:ascii="Arial"/>
                <w:sz w:val="21"/>
              </w:rPr>
            </w:pPr>
          </w:p>
          <w:p w14:paraId="45F2A519">
            <w:pPr>
              <w:spacing w:line="254" w:lineRule="auto"/>
              <w:rPr>
                <w:rFonts w:ascii="Arial"/>
                <w:sz w:val="21"/>
              </w:rPr>
            </w:pPr>
          </w:p>
          <w:p w14:paraId="70B9CCAD">
            <w:pPr>
              <w:spacing w:line="254" w:lineRule="auto"/>
              <w:rPr>
                <w:rFonts w:ascii="Arial"/>
                <w:sz w:val="21"/>
              </w:rPr>
            </w:pPr>
          </w:p>
          <w:p w14:paraId="69A6CE79">
            <w:pPr>
              <w:spacing w:line="254" w:lineRule="auto"/>
              <w:rPr>
                <w:rFonts w:ascii="Arial"/>
                <w:sz w:val="21"/>
              </w:rPr>
            </w:pPr>
          </w:p>
          <w:p w14:paraId="77693681">
            <w:pPr>
              <w:pStyle w:val="6"/>
              <w:spacing w:before="68" w:line="221" w:lineRule="auto"/>
              <w:ind w:left="167"/>
            </w:pPr>
            <w:r>
              <w:rPr>
                <w:spacing w:val="-2"/>
              </w:rPr>
              <w:t>形式评审与</w:t>
            </w:r>
          </w:p>
          <w:p w14:paraId="0D7BBDB1">
            <w:pPr>
              <w:pStyle w:val="6"/>
              <w:spacing w:before="19" w:line="221" w:lineRule="auto"/>
              <w:ind w:left="175"/>
            </w:pPr>
            <w:r>
              <w:rPr>
                <w:spacing w:val="-4"/>
              </w:rPr>
              <w:t>响应性评审</w:t>
            </w:r>
          </w:p>
          <w:p w14:paraId="504DF790">
            <w:pPr>
              <w:pStyle w:val="6"/>
              <w:spacing w:before="22" w:line="221" w:lineRule="auto"/>
              <w:ind w:left="482"/>
            </w:pPr>
            <w:r>
              <w:rPr>
                <w:spacing w:val="-2"/>
              </w:rPr>
              <w:t>标准</w:t>
            </w:r>
          </w:p>
        </w:tc>
        <w:tc>
          <w:tcPr>
            <w:tcW w:w="5856" w:type="dxa"/>
            <w:vAlign w:val="top"/>
          </w:tcPr>
          <w:p w14:paraId="708F728C">
            <w:pPr>
              <w:pStyle w:val="6"/>
              <w:spacing w:before="127" w:line="221" w:lineRule="auto"/>
              <w:ind w:left="113"/>
            </w:pPr>
            <w:r>
              <w:rPr>
                <w:spacing w:val="-1"/>
              </w:rPr>
              <w:t>第一个信封（商务及技术文件）评审标准：</w:t>
            </w:r>
          </w:p>
          <w:p w14:paraId="6DAC2112">
            <w:pPr>
              <w:pStyle w:val="6"/>
              <w:spacing w:before="23" w:line="229" w:lineRule="auto"/>
              <w:ind w:left="114" w:right="177" w:firstLine="35"/>
            </w:pPr>
            <w:r>
              <w:rPr>
                <w:spacing w:val="-2"/>
              </w:rPr>
              <w:t>(1)投标文件按照招标文件规定的格式、内容填写，字迹清晰可辨</w:t>
            </w:r>
          </w:p>
          <w:p w14:paraId="57C36F86">
            <w:pPr>
              <w:pStyle w:val="6"/>
              <w:spacing w:before="23" w:line="229" w:lineRule="auto"/>
              <w:ind w:left="114" w:right="280"/>
            </w:pPr>
            <w:r>
              <w:t>a.投标函按招标文件规定填报了项目名称、标段</w:t>
            </w:r>
            <w:r>
              <w:rPr>
                <w:spacing w:val="-1"/>
              </w:rPr>
              <w:t>号、补遗书</w:t>
            </w:r>
            <w:r>
              <w:rPr>
                <w:spacing w:val="-2"/>
              </w:rPr>
              <w:t>编号（如有）、工期、工程质量要求及安全目标；</w:t>
            </w:r>
          </w:p>
          <w:p w14:paraId="41307B5C">
            <w:pPr>
              <w:pStyle w:val="6"/>
              <w:spacing w:before="23" w:line="220" w:lineRule="auto"/>
              <w:ind w:left="109"/>
            </w:pPr>
            <w:r>
              <w:t>b.投标函附录的所有数据均符合招标文件规定；</w:t>
            </w:r>
          </w:p>
          <w:p w14:paraId="684C42FA">
            <w:pPr>
              <w:pStyle w:val="6"/>
              <w:spacing w:before="20" w:line="221" w:lineRule="auto"/>
              <w:ind w:left="117"/>
            </w:pPr>
            <w:r>
              <w:rPr>
                <w:spacing w:val="-1"/>
              </w:rPr>
              <w:t>c.投标文件组成齐全完整，内容均按规定填写。</w:t>
            </w:r>
          </w:p>
          <w:p w14:paraId="6E24BADF">
            <w:pPr>
              <w:pStyle w:val="6"/>
              <w:spacing w:before="23" w:line="229" w:lineRule="auto"/>
              <w:ind w:left="114" w:right="177" w:firstLine="35"/>
            </w:pPr>
            <w:r>
              <w:rPr>
                <w:spacing w:val="-2"/>
              </w:rPr>
              <w:t>(2)投标文件上法定代表人或其委托代理人的签字、投标人的</w:t>
            </w:r>
            <w:r>
              <w:rPr>
                <w:spacing w:val="-1"/>
              </w:rPr>
              <w:t>单位章盖章齐全，符合招标文件规定</w:t>
            </w:r>
          </w:p>
          <w:p w14:paraId="6C39AB64">
            <w:pPr>
              <w:pStyle w:val="6"/>
              <w:spacing w:before="24" w:line="229" w:lineRule="auto"/>
              <w:ind w:left="113" w:right="280" w:firstLine="2"/>
            </w:pPr>
            <w:r>
              <w:t>投标文件上法定代表人或其委托代理人的签</w:t>
            </w:r>
            <w:r>
              <w:rPr>
                <w:spacing w:val="-1"/>
              </w:rPr>
              <w:t>字、投标人的单位章盖章齐全，符合招标文件规定</w:t>
            </w:r>
          </w:p>
          <w:p w14:paraId="708683FE">
            <w:pPr>
              <w:pStyle w:val="6"/>
              <w:spacing w:before="25" w:line="233" w:lineRule="auto"/>
              <w:ind w:left="114" w:right="177" w:firstLine="36"/>
              <w:jc w:val="both"/>
            </w:pPr>
            <w:r>
              <w:rPr>
                <w:spacing w:val="-2"/>
              </w:rPr>
              <w:t>(3)与申请资格预审时比较，投标人发生合并、分立、破产等</w:t>
            </w:r>
            <w:r>
              <w:t>重大变化的，仍具备资格预审文件规定的相应资</w:t>
            </w:r>
            <w:r>
              <w:rPr>
                <w:spacing w:val="-1"/>
              </w:rPr>
              <w:t>格条件且其投标未影响招标公正性</w:t>
            </w:r>
          </w:p>
          <w:p w14:paraId="38FE56E7">
            <w:pPr>
              <w:pStyle w:val="6"/>
              <w:spacing w:before="20" w:line="230" w:lineRule="auto"/>
              <w:ind w:left="122" w:right="280" w:hanging="8"/>
            </w:pPr>
            <w:r>
              <w:t>a.投标人应提供相关部门的合法批件及企业法人</w:t>
            </w:r>
            <w:r>
              <w:rPr>
                <w:spacing w:val="-1"/>
              </w:rPr>
              <w:t>营业执照和</w:t>
            </w:r>
            <w:r>
              <w:rPr>
                <w:spacing w:val="-3"/>
              </w:rPr>
              <w:t>资质证书等证件的副本变更记录复印件；</w:t>
            </w:r>
          </w:p>
          <w:p w14:paraId="5318E9CD">
            <w:pPr>
              <w:pStyle w:val="6"/>
              <w:spacing w:before="21" w:line="230" w:lineRule="auto"/>
              <w:ind w:left="113" w:right="280" w:hanging="4"/>
            </w:pPr>
            <w:r>
              <w:t>b.投标人仍然满足资格预审文件中规定的资格预审条件最低</w:t>
            </w:r>
            <w:r>
              <w:rPr>
                <w:spacing w:val="-1"/>
              </w:rPr>
              <w:t>要求（资质、业绩、人员、信誉、财务等</w:t>
            </w:r>
            <w:r>
              <w:rPr>
                <w:spacing w:val="-6"/>
              </w:rPr>
              <w:t>）；</w:t>
            </w:r>
          </w:p>
          <w:p w14:paraId="64781D76">
            <w:pPr>
              <w:pStyle w:val="6"/>
              <w:spacing w:before="24" w:line="233" w:lineRule="auto"/>
              <w:ind w:left="120" w:right="280" w:hanging="3"/>
              <w:jc w:val="both"/>
            </w:pPr>
            <w:r>
              <w:t>c.与所投标段的其他投标人不存在控股、</w:t>
            </w:r>
            <w:r>
              <w:rPr>
                <w:spacing w:val="-1"/>
              </w:rPr>
              <w:t>管理关系或单位负责人为同一人的情况；与招标人也不存在利害关系并可能影</w:t>
            </w:r>
            <w:r>
              <w:rPr>
                <w:spacing w:val="-4"/>
              </w:rPr>
              <w:t>响招标公正性。</w:t>
            </w:r>
          </w:p>
          <w:p w14:paraId="74FF332D">
            <w:pPr>
              <w:pStyle w:val="6"/>
              <w:spacing w:before="19" w:line="220" w:lineRule="auto"/>
              <w:ind w:left="150"/>
            </w:pPr>
            <w:r>
              <w:rPr>
                <w:spacing w:val="-2"/>
              </w:rPr>
              <w:t>(4)投标人按照招标文件的规定提供了投标保证金</w:t>
            </w:r>
          </w:p>
          <w:p w14:paraId="4635E64B">
            <w:pPr>
              <w:pStyle w:val="6"/>
              <w:spacing w:before="23" w:line="230" w:lineRule="auto"/>
              <w:ind w:left="114" w:right="280"/>
            </w:pPr>
            <w:r>
              <w:t>a.投标保证金金额符合招标文件规定的金额，且</w:t>
            </w:r>
            <w:r>
              <w:rPr>
                <w:spacing w:val="-1"/>
              </w:rPr>
              <w:t>投标保证金有效期不少于投标有效期；</w:t>
            </w:r>
          </w:p>
          <w:p w14:paraId="1FF06869">
            <w:pPr>
              <w:pStyle w:val="6"/>
              <w:spacing w:before="22" w:line="220" w:lineRule="auto"/>
              <w:ind w:left="109"/>
            </w:pPr>
            <w:r>
              <w:t>b.若投标保证金采用现金或支票形式提交，投标人应在递交</w:t>
            </w:r>
          </w:p>
        </w:tc>
      </w:tr>
    </w:tbl>
    <w:p w14:paraId="5AB80418">
      <w:pPr>
        <w:pStyle w:val="2"/>
        <w:spacing w:line="334" w:lineRule="auto"/>
      </w:pPr>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165735</wp:posOffset>
                </wp:positionV>
                <wp:extent cx="182943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1829435" cy="9525"/>
                        </a:xfrm>
                        <a:custGeom>
                          <a:avLst/>
                          <a:gdLst/>
                          <a:ahLst/>
                          <a:cxnLst/>
                          <a:pathLst>
                            <a:path w="2881" h="15">
                              <a:moveTo>
                                <a:pt x="0" y="14"/>
                              </a:moveTo>
                              <a:lnTo>
                                <a:pt x="2880" y="14"/>
                              </a:lnTo>
                              <a:lnTo>
                                <a:pt x="288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pt;margin-top:13.05pt;height:0.75pt;width:144.05pt;z-index:251659264;mso-width-relative:page;mso-height-relative:page;" fillcolor="#000000" filled="t" stroked="f" coordsize="2881,15" o:gfxdata="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QAjsdYAAAAIAQAADwAAAAAAAAAB&#10;ACAAAAAiAAAAZHJzL2Rvd25yZXYueG1sUEsBAhQAFAAAAAgAh07iQApVJ/YSAgAAfAQAAA4AAAAA&#10;AAAAAQAgAAAAJQEAAGRycy9lMm9Eb2MueG1sUEsFBgAAAAAGAAYAWQEAAKkFAAAAAA==&#10;" path="m0,14l2880,14,2880,0,0,0,0,14xe">
                <v:fill on="t" focussize="0,0"/>
                <v:stroke on="f"/>
                <v:imagedata o:title=""/>
                <o:lock v:ext="edit" aspectratio="f"/>
              </v:shape>
            </w:pict>
          </mc:Fallback>
        </mc:AlternateContent>
      </w:r>
    </w:p>
    <w:p w14:paraId="3687EFB5">
      <w:pPr>
        <w:spacing w:before="59" w:line="230" w:lineRule="auto"/>
        <w:ind w:left="119" w:right="120" w:hanging="4"/>
        <w:rPr>
          <w:rFonts w:ascii="宋体" w:hAnsi="宋体" w:eastAsia="宋体" w:cs="宋体"/>
          <w:sz w:val="18"/>
          <w:szCs w:val="18"/>
        </w:rPr>
      </w:pPr>
      <w:r>
        <w:rPr>
          <w:rFonts w:ascii="宋体" w:hAnsi="宋体" w:eastAsia="宋体" w:cs="宋体"/>
          <w:spacing w:val="2"/>
          <w:sz w:val="9"/>
          <w:szCs w:val="9"/>
        </w:rPr>
        <w:t>①</w:t>
      </w:r>
      <w:r>
        <w:rPr>
          <w:rFonts w:ascii="Calibri" w:hAnsi="Calibri" w:eastAsia="Calibri" w:cs="Calibri"/>
          <w:spacing w:val="2"/>
          <w:sz w:val="18"/>
          <w:szCs w:val="18"/>
        </w:rPr>
        <w:t>“</w:t>
      </w:r>
      <w:r>
        <w:rPr>
          <w:rFonts w:ascii="宋体" w:hAnsi="宋体" w:eastAsia="宋体" w:cs="宋体"/>
          <w:spacing w:val="2"/>
          <w:sz w:val="18"/>
          <w:szCs w:val="18"/>
        </w:rPr>
        <w:t>评标办法前附表</w:t>
      </w:r>
      <w:r>
        <w:rPr>
          <w:rFonts w:ascii="Calibri" w:hAnsi="Calibri" w:eastAsia="Calibri" w:cs="Calibri"/>
          <w:spacing w:val="2"/>
          <w:sz w:val="18"/>
          <w:szCs w:val="18"/>
        </w:rPr>
        <w:t>”</w:t>
      </w:r>
      <w:r>
        <w:rPr>
          <w:rFonts w:ascii="宋体" w:hAnsi="宋体" w:eastAsia="宋体" w:cs="宋体"/>
          <w:spacing w:val="2"/>
          <w:sz w:val="18"/>
          <w:szCs w:val="18"/>
        </w:rPr>
        <w:t>用于明确评标的方法、因素、标准和程序。招标人应根据招标项目具体特点和实际需</w:t>
      </w:r>
      <w:r>
        <w:rPr>
          <w:rFonts w:ascii="宋体" w:hAnsi="宋体" w:eastAsia="宋体" w:cs="宋体"/>
          <w:spacing w:val="-1"/>
          <w:sz w:val="18"/>
          <w:szCs w:val="18"/>
        </w:rPr>
        <w:t>要，详细列明全部评审因素、标准，没有列明的因素和标准不得</w:t>
      </w:r>
      <w:r>
        <w:rPr>
          <w:rFonts w:ascii="宋体" w:hAnsi="宋体" w:eastAsia="宋体" w:cs="宋体"/>
          <w:spacing w:val="-2"/>
          <w:sz w:val="18"/>
          <w:szCs w:val="18"/>
        </w:rPr>
        <w:t>作为评标的依据。</w:t>
      </w:r>
    </w:p>
    <w:p w14:paraId="0D20687E">
      <w:pPr>
        <w:spacing w:line="230" w:lineRule="auto"/>
        <w:rPr>
          <w:rFonts w:ascii="宋体" w:hAnsi="宋体" w:eastAsia="宋体" w:cs="宋体"/>
          <w:sz w:val="18"/>
          <w:szCs w:val="18"/>
        </w:rPr>
        <w:sectPr>
          <w:footerReference r:id="rId5" w:type="default"/>
          <w:pgSz w:w="11912" w:h="16851"/>
          <w:pgMar w:top="400" w:right="1682" w:bottom="1025" w:left="1685" w:header="0" w:footer="861" w:gutter="0"/>
          <w:cols w:space="720" w:num="1"/>
        </w:sectPr>
      </w:pPr>
    </w:p>
    <w:p w14:paraId="7B1B2348">
      <w:pPr>
        <w:spacing w:before="19"/>
      </w:pPr>
    </w:p>
    <w:p w14:paraId="5ECD7084">
      <w:pPr>
        <w:spacing w:before="19"/>
      </w:pPr>
    </w:p>
    <w:p w14:paraId="786594E5">
      <w:pPr>
        <w:spacing w:before="18"/>
      </w:pPr>
    </w:p>
    <w:p w14:paraId="4111E889">
      <w:pPr>
        <w:spacing w:before="18"/>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2"/>
        <w:gridCol w:w="1375"/>
        <w:gridCol w:w="5856"/>
      </w:tblGrid>
      <w:tr w14:paraId="0ABD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8" w:hRule="atLeast"/>
        </w:trPr>
        <w:tc>
          <w:tcPr>
            <w:tcW w:w="1302" w:type="dxa"/>
            <w:vAlign w:val="top"/>
          </w:tcPr>
          <w:p w14:paraId="75D0C999">
            <w:pPr>
              <w:rPr>
                <w:rFonts w:ascii="Arial"/>
                <w:sz w:val="21"/>
              </w:rPr>
            </w:pPr>
          </w:p>
        </w:tc>
        <w:tc>
          <w:tcPr>
            <w:tcW w:w="1375" w:type="dxa"/>
            <w:vAlign w:val="top"/>
          </w:tcPr>
          <w:p w14:paraId="35183826">
            <w:pPr>
              <w:rPr>
                <w:rFonts w:ascii="Arial"/>
                <w:sz w:val="21"/>
              </w:rPr>
            </w:pPr>
          </w:p>
        </w:tc>
        <w:tc>
          <w:tcPr>
            <w:tcW w:w="5856" w:type="dxa"/>
            <w:vAlign w:val="top"/>
          </w:tcPr>
          <w:p w14:paraId="7140A145">
            <w:pPr>
              <w:pStyle w:val="6"/>
              <w:spacing w:before="130" w:line="230" w:lineRule="auto"/>
              <w:ind w:left="114" w:right="280" w:firstLine="1"/>
            </w:pPr>
            <w:r>
              <w:t>投标文件截止时间之前，将投标保证金由投</w:t>
            </w:r>
            <w:r>
              <w:rPr>
                <w:spacing w:val="-1"/>
              </w:rPr>
              <w:t>标人的基本账户转入招标人指定账户；</w:t>
            </w:r>
          </w:p>
          <w:p w14:paraId="70E5CBD7">
            <w:pPr>
              <w:pStyle w:val="6"/>
              <w:spacing w:before="22" w:line="233" w:lineRule="auto"/>
              <w:ind w:left="114" w:right="280" w:firstLine="3"/>
            </w:pPr>
            <w:r>
              <w:t>c.若投标保证金采用银行保函形式提交，</w:t>
            </w:r>
            <w:r>
              <w:rPr>
                <w:spacing w:val="-1"/>
              </w:rPr>
              <w:t>银行保函的格式、</w:t>
            </w:r>
            <w:r>
              <w:t>开具保函的银行均满足招标文件要求，且在递交</w:t>
            </w:r>
            <w:r>
              <w:rPr>
                <w:spacing w:val="-1"/>
              </w:rPr>
              <w:t>投标文件截止时间之前向招标人提交了银行保函原件。</w:t>
            </w:r>
          </w:p>
          <w:p w14:paraId="480C3F9E">
            <w:pPr>
              <w:pStyle w:val="6"/>
              <w:spacing w:before="20" w:line="230" w:lineRule="auto"/>
              <w:ind w:left="117" w:right="177" w:firstLine="32"/>
            </w:pPr>
            <w:r>
              <w:rPr>
                <w:spacing w:val="-2"/>
              </w:rPr>
              <w:t>(5)投标人法定代表人授权委托代理人签署投标文件的，须提</w:t>
            </w:r>
            <w:r>
              <w:rPr>
                <w:spacing w:val="-1"/>
              </w:rPr>
              <w:t>交授权委托书，且授权人和被授权人均在授权委托书上签</w:t>
            </w:r>
          </w:p>
          <w:p w14:paraId="73B3DE55">
            <w:pPr>
              <w:pStyle w:val="6"/>
              <w:spacing w:before="20" w:line="220" w:lineRule="auto"/>
              <w:ind w:left="115"/>
            </w:pPr>
            <w:r>
              <w:rPr>
                <w:spacing w:val="-1"/>
              </w:rPr>
              <w:t>名，未使用印章、签名章或其他电子制版签名代替</w:t>
            </w:r>
          </w:p>
          <w:p w14:paraId="72DA8790">
            <w:pPr>
              <w:pStyle w:val="6"/>
              <w:spacing w:before="23" w:line="233" w:lineRule="auto"/>
              <w:ind w:left="112" w:right="280" w:firstLine="3"/>
            </w:pPr>
            <w:r>
              <w:t>投标人法定代表人授权委托代理人签署投标</w:t>
            </w:r>
            <w:r>
              <w:rPr>
                <w:spacing w:val="-1"/>
              </w:rPr>
              <w:t>文件的，须提交</w:t>
            </w:r>
            <w:r>
              <w:t>授权委托书，且授权人和被授权人均在授权委托书上</w:t>
            </w:r>
            <w:r>
              <w:rPr>
                <w:spacing w:val="-1"/>
              </w:rPr>
              <w:t>签名，未使用印章、签名章或其他电子制版签名代替</w:t>
            </w:r>
          </w:p>
          <w:p w14:paraId="2CEBAC9C">
            <w:pPr>
              <w:pStyle w:val="6"/>
              <w:spacing w:before="23" w:line="229" w:lineRule="auto"/>
              <w:ind w:left="114" w:right="177" w:firstLine="35"/>
            </w:pPr>
            <w:r>
              <w:rPr>
                <w:spacing w:val="-2"/>
              </w:rPr>
              <w:t>(6)投标人法定代表人亲自签署投标文件的，提供了法定代表</w:t>
            </w:r>
            <w:r>
              <w:t>人身份证明，且法定代表人在法定代表人身份证</w:t>
            </w:r>
            <w:r>
              <w:rPr>
                <w:spacing w:val="-1"/>
              </w:rPr>
              <w:t>明上签名，</w:t>
            </w:r>
          </w:p>
          <w:p w14:paraId="69CA48ED">
            <w:pPr>
              <w:pStyle w:val="6"/>
              <w:spacing w:before="22" w:line="220" w:lineRule="auto"/>
              <w:ind w:left="116"/>
            </w:pPr>
            <w:r>
              <w:rPr>
                <w:spacing w:val="-1"/>
              </w:rPr>
              <w:t>未使用印章、签名章或其他电子制版签名代替</w:t>
            </w:r>
          </w:p>
          <w:p w14:paraId="59033F34">
            <w:pPr>
              <w:pStyle w:val="6"/>
              <w:spacing w:before="21" w:line="231" w:lineRule="auto"/>
              <w:ind w:left="118" w:right="280" w:hanging="3"/>
            </w:pPr>
            <w:r>
              <w:t>投标人法定代表人亲自签署投标文件的，提</w:t>
            </w:r>
            <w:r>
              <w:rPr>
                <w:spacing w:val="-1"/>
              </w:rPr>
              <w:t>供了法定代表人身份证明，且法定代表人在法定代表人身份证明上签名，未</w:t>
            </w:r>
          </w:p>
          <w:p w14:paraId="1364CFD7">
            <w:pPr>
              <w:pStyle w:val="6"/>
              <w:spacing w:before="20" w:line="220" w:lineRule="auto"/>
              <w:ind w:left="114"/>
            </w:pPr>
            <w:r>
              <w:rPr>
                <w:spacing w:val="-1"/>
              </w:rPr>
              <w:t>使用印章、签名章或其他电子制版签名代替</w:t>
            </w:r>
          </w:p>
          <w:p w14:paraId="3A72B041">
            <w:pPr>
              <w:pStyle w:val="6"/>
              <w:spacing w:before="25" w:line="234" w:lineRule="auto"/>
              <w:ind w:left="114" w:right="177" w:firstLine="36"/>
            </w:pPr>
            <w:r>
              <w:rPr>
                <w:spacing w:val="-2"/>
              </w:rPr>
              <w:t>(7)投标人以联合体形式投标时，联合体满足招标文件的要求</w:t>
            </w:r>
            <w:r>
              <w:t>a.未进行资格预审的，投标人按照招标文件提供</w:t>
            </w:r>
            <w:r>
              <w:rPr>
                <w:spacing w:val="-1"/>
              </w:rPr>
              <w:t>的格式签订</w:t>
            </w:r>
            <w:r>
              <w:t>了联合体协议书，明确各方承担连带责任，并明</w:t>
            </w:r>
            <w:r>
              <w:rPr>
                <w:spacing w:val="-1"/>
              </w:rPr>
              <w:t>确了联合体</w:t>
            </w:r>
            <w:r>
              <w:rPr>
                <w:spacing w:val="-2"/>
              </w:rPr>
              <w:t>牵头人；</w:t>
            </w:r>
          </w:p>
          <w:p w14:paraId="3E6F1D6B">
            <w:pPr>
              <w:pStyle w:val="6"/>
              <w:spacing w:before="25" w:line="233" w:lineRule="auto"/>
              <w:ind w:left="120" w:right="280" w:hanging="11"/>
              <w:jc w:val="both"/>
            </w:pPr>
            <w:r>
              <w:t>b.已进行资格预审的，投标人提供了资格预审申请文件中所</w:t>
            </w:r>
            <w:r>
              <w:rPr>
                <w:spacing w:val="-1"/>
              </w:rPr>
              <w:t>附的联合体协议书复印件，且通过资格预审后的联合体无成</w:t>
            </w:r>
            <w:r>
              <w:rPr>
                <w:spacing w:val="-2"/>
              </w:rPr>
              <w:t>员增减或更换的情况。</w:t>
            </w:r>
          </w:p>
          <w:p w14:paraId="0AE385FC">
            <w:pPr>
              <w:pStyle w:val="6"/>
              <w:spacing w:before="19" w:line="233" w:lineRule="auto"/>
              <w:ind w:left="117" w:right="385" w:firstLine="32"/>
              <w:jc w:val="both"/>
            </w:pPr>
            <w:r>
              <w:rPr>
                <w:spacing w:val="-2"/>
              </w:rPr>
              <w:t>(8)投标人如有分包计划，符合招标文件第二章“投标人须</w:t>
            </w:r>
            <w:r>
              <w:rPr>
                <w:spacing w:val="-1"/>
              </w:rPr>
              <w:t>知”第1.11款规定，且按招标文件第九章“投标文件格</w:t>
            </w:r>
            <w:r>
              <w:rPr>
                <w:spacing w:val="2"/>
              </w:rPr>
              <w:t>式”的要求填写了“拟分包项目情况表”</w:t>
            </w:r>
          </w:p>
          <w:p w14:paraId="22F37537">
            <w:pPr>
              <w:pStyle w:val="6"/>
              <w:spacing w:before="24" w:line="233" w:lineRule="auto"/>
              <w:ind w:left="113" w:right="175" w:firstLine="2"/>
              <w:jc w:val="both"/>
            </w:pPr>
            <w:r>
              <w:rPr>
                <w:spacing w:val="4"/>
              </w:rPr>
              <w:t>投标人如有分包计划，符合招标文件第二章“投</w:t>
            </w:r>
            <w:r>
              <w:rPr>
                <w:spacing w:val="3"/>
              </w:rPr>
              <w:t>标人须知”</w:t>
            </w:r>
            <w:r>
              <w:rPr>
                <w:spacing w:val="-1"/>
              </w:rPr>
              <w:t>第1.11款规定，且按招标文件第九章“投标文件格</w:t>
            </w:r>
            <w:r>
              <w:rPr>
                <w:spacing w:val="-2"/>
              </w:rPr>
              <w:t>式”的</w:t>
            </w:r>
            <w:r>
              <w:rPr>
                <w:spacing w:val="6"/>
              </w:rPr>
              <w:t>要求填写了“拟分包项目情况表”</w:t>
            </w:r>
          </w:p>
          <w:p w14:paraId="1F77C5E0">
            <w:pPr>
              <w:pStyle w:val="6"/>
              <w:spacing w:before="20" w:line="231" w:lineRule="auto"/>
              <w:ind w:left="114" w:right="177" w:firstLine="36"/>
            </w:pPr>
            <w:r>
              <w:rPr>
                <w:spacing w:val="-2"/>
              </w:rPr>
              <w:t>(9)同一投标人未提交两个以上不同的投标文件，但招标文件</w:t>
            </w:r>
            <w:r>
              <w:rPr>
                <w:spacing w:val="-1"/>
              </w:rPr>
              <w:t>要求提交备选投标的除外</w:t>
            </w:r>
          </w:p>
          <w:p w14:paraId="196DBA6F">
            <w:pPr>
              <w:pStyle w:val="6"/>
              <w:spacing w:before="21" w:line="229" w:lineRule="auto"/>
              <w:ind w:left="114" w:right="280" w:firstLine="19"/>
            </w:pPr>
            <w:r>
              <w:rPr>
                <w:spacing w:val="-1"/>
              </w:rPr>
              <w:t>同一投标人未提交两个以上不同的投标文件，但招标文件要求提交备选投标的除外</w:t>
            </w:r>
          </w:p>
          <w:p w14:paraId="68D04316">
            <w:pPr>
              <w:pStyle w:val="6"/>
              <w:spacing w:before="22" w:line="229" w:lineRule="auto"/>
              <w:ind w:left="115" w:right="1751" w:firstLine="34"/>
            </w:pPr>
            <w:r>
              <w:rPr>
                <w:spacing w:val="-2"/>
              </w:rPr>
              <w:t>(10)投标文件中未出现有关投标报价的内容</w:t>
            </w:r>
            <w:r>
              <w:rPr>
                <w:spacing w:val="-1"/>
              </w:rPr>
              <w:t>投标文件中未出现有关投标报价的内容</w:t>
            </w:r>
          </w:p>
          <w:p w14:paraId="746DF35C">
            <w:pPr>
              <w:pStyle w:val="6"/>
              <w:spacing w:before="24" w:line="230" w:lineRule="auto"/>
              <w:ind w:left="130" w:right="280" w:firstLine="19"/>
            </w:pPr>
            <w:r>
              <w:rPr>
                <w:spacing w:val="-2"/>
              </w:rPr>
              <w:t>(11)投标文件载明的招标项目完成期限未超过招标文件规定</w:t>
            </w:r>
            <w:r>
              <w:rPr>
                <w:spacing w:val="-5"/>
              </w:rPr>
              <w:t>的时限</w:t>
            </w:r>
          </w:p>
          <w:p w14:paraId="74BF35D1">
            <w:pPr>
              <w:pStyle w:val="6"/>
              <w:spacing w:before="22" w:line="230" w:lineRule="auto"/>
              <w:ind w:left="127" w:right="280" w:hanging="12"/>
            </w:pPr>
            <w:r>
              <w:t>投标文件载明的招标项目完成期限未超过招</w:t>
            </w:r>
            <w:r>
              <w:rPr>
                <w:spacing w:val="-1"/>
              </w:rPr>
              <w:t>标文件规定的时</w:t>
            </w:r>
            <w:r>
              <w:t>限</w:t>
            </w:r>
          </w:p>
          <w:p w14:paraId="2627A424">
            <w:pPr>
              <w:pStyle w:val="6"/>
              <w:spacing w:before="21" w:line="230" w:lineRule="auto"/>
              <w:ind w:left="115" w:right="700" w:firstLine="34"/>
            </w:pPr>
            <w:r>
              <w:rPr>
                <w:spacing w:val="-2"/>
              </w:rPr>
              <w:t>(12)投标文件对招标文件的实质性要求和条件作出响应</w:t>
            </w:r>
            <w:r>
              <w:rPr>
                <w:spacing w:val="-1"/>
              </w:rPr>
              <w:t>投标文件对招标文件的实质性要求和条件作出响应</w:t>
            </w:r>
          </w:p>
          <w:p w14:paraId="605B30C0">
            <w:pPr>
              <w:pStyle w:val="6"/>
              <w:spacing w:before="23" w:line="221" w:lineRule="auto"/>
              <w:ind w:left="150"/>
            </w:pPr>
            <w:r>
              <w:rPr>
                <w:spacing w:val="-3"/>
              </w:rPr>
              <w:t>(13)权利义务符合招标文件规定</w:t>
            </w:r>
          </w:p>
          <w:p w14:paraId="2F08BA3F">
            <w:pPr>
              <w:pStyle w:val="6"/>
              <w:spacing w:before="19" w:line="231" w:lineRule="auto"/>
              <w:ind w:left="114" w:right="280"/>
            </w:pPr>
            <w:r>
              <w:t>a.投标人应接受招标文件规定的风险划分原则，</w:t>
            </w:r>
            <w:r>
              <w:rPr>
                <w:spacing w:val="-1"/>
              </w:rPr>
              <w:t>未提出新的</w:t>
            </w:r>
            <w:r>
              <w:rPr>
                <w:spacing w:val="-5"/>
              </w:rPr>
              <w:t>风险划分办法；</w:t>
            </w:r>
          </w:p>
          <w:p w14:paraId="0BB92F0E">
            <w:pPr>
              <w:pStyle w:val="6"/>
              <w:spacing w:before="20" w:line="221" w:lineRule="auto"/>
              <w:ind w:left="109"/>
            </w:pPr>
            <w:r>
              <w:rPr>
                <w:spacing w:val="-1"/>
              </w:rPr>
              <w:t>b.投标人未增加发包人的责任范围，或减</w:t>
            </w:r>
            <w:r>
              <w:rPr>
                <w:spacing w:val="-2"/>
              </w:rPr>
              <w:t>少投标人义务；</w:t>
            </w:r>
          </w:p>
          <w:p w14:paraId="3C56FAED">
            <w:pPr>
              <w:pStyle w:val="6"/>
              <w:spacing w:before="23" w:line="229" w:lineRule="auto"/>
              <w:ind w:left="117" w:right="961"/>
            </w:pPr>
            <w:r>
              <w:rPr>
                <w:spacing w:val="-3"/>
              </w:rPr>
              <w:t>c.投标人未提出不同的工程验收、计量、支付办法；</w:t>
            </w:r>
            <w:r>
              <w:rPr>
                <w:spacing w:val="-2"/>
              </w:rPr>
              <w:t>d.投标人对合同纠纷、事故处理办法未提出异议；</w:t>
            </w:r>
          </w:p>
          <w:p w14:paraId="194A365D">
            <w:pPr>
              <w:pStyle w:val="6"/>
              <w:spacing w:before="23" w:line="221" w:lineRule="auto"/>
              <w:ind w:left="118"/>
            </w:pPr>
            <w:r>
              <w:rPr>
                <w:spacing w:val="-2"/>
              </w:rPr>
              <w:t>e.投标人在投标活动中无欺诈行为；</w:t>
            </w:r>
          </w:p>
          <w:p w14:paraId="1C3305C0">
            <w:pPr>
              <w:pStyle w:val="6"/>
              <w:spacing w:before="19" w:line="221" w:lineRule="auto"/>
              <w:ind w:left="116"/>
            </w:pPr>
            <w:r>
              <w:rPr>
                <w:spacing w:val="-2"/>
              </w:rPr>
              <w:t>f.投标人未对合同条款有重要保留。</w:t>
            </w:r>
          </w:p>
        </w:tc>
      </w:tr>
    </w:tbl>
    <w:p w14:paraId="6390604A">
      <w:pPr>
        <w:pStyle w:val="2"/>
      </w:pPr>
    </w:p>
    <w:p w14:paraId="200DA44F">
      <w:pPr>
        <w:sectPr>
          <w:footerReference r:id="rId6" w:type="default"/>
          <w:pgSz w:w="11912" w:h="16851"/>
          <w:pgMar w:top="400" w:right="1685" w:bottom="1025" w:left="1687" w:header="0" w:footer="861" w:gutter="0"/>
          <w:cols w:space="720" w:num="1"/>
        </w:sectPr>
      </w:pPr>
    </w:p>
    <w:p w14:paraId="09F31084">
      <w:pPr>
        <w:spacing w:before="19"/>
      </w:pPr>
    </w:p>
    <w:p w14:paraId="1187DE59">
      <w:pPr>
        <w:spacing w:before="19"/>
      </w:pPr>
    </w:p>
    <w:p w14:paraId="0081022F">
      <w:pPr>
        <w:spacing w:before="18"/>
      </w:pPr>
    </w:p>
    <w:p w14:paraId="01327D2F">
      <w:pPr>
        <w:spacing w:before="18"/>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2"/>
        <w:gridCol w:w="1375"/>
        <w:gridCol w:w="5856"/>
      </w:tblGrid>
      <w:tr w14:paraId="1A8B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8" w:hRule="atLeast"/>
        </w:trPr>
        <w:tc>
          <w:tcPr>
            <w:tcW w:w="1302" w:type="dxa"/>
            <w:vAlign w:val="top"/>
          </w:tcPr>
          <w:p w14:paraId="643443D4">
            <w:pPr>
              <w:rPr>
                <w:rFonts w:ascii="Arial"/>
                <w:sz w:val="21"/>
              </w:rPr>
            </w:pPr>
          </w:p>
        </w:tc>
        <w:tc>
          <w:tcPr>
            <w:tcW w:w="1375" w:type="dxa"/>
            <w:vAlign w:val="top"/>
          </w:tcPr>
          <w:p w14:paraId="689D90D4">
            <w:pPr>
              <w:rPr>
                <w:rFonts w:ascii="Arial"/>
                <w:sz w:val="21"/>
              </w:rPr>
            </w:pPr>
          </w:p>
        </w:tc>
        <w:tc>
          <w:tcPr>
            <w:tcW w:w="5856" w:type="dxa"/>
            <w:vAlign w:val="top"/>
          </w:tcPr>
          <w:p w14:paraId="2C9C8838">
            <w:pPr>
              <w:pStyle w:val="6"/>
              <w:spacing w:before="129" w:line="230" w:lineRule="auto"/>
              <w:ind w:left="117" w:right="280" w:firstLine="32"/>
            </w:pPr>
            <w:r>
              <w:rPr>
                <w:spacing w:val="-2"/>
              </w:rPr>
              <w:t>(14)投标文件正、副本份数符合招标文件第二章“投标人须</w:t>
            </w:r>
            <w:r>
              <w:rPr>
                <w:spacing w:val="-3"/>
              </w:rPr>
              <w:t>知”第3.7.4项规定</w:t>
            </w:r>
          </w:p>
          <w:p w14:paraId="6AA915FD">
            <w:pPr>
              <w:pStyle w:val="6"/>
              <w:spacing w:before="23" w:line="229" w:lineRule="auto"/>
              <w:ind w:left="113" w:right="175" w:firstLine="2"/>
            </w:pPr>
            <w:r>
              <w:rPr>
                <w:spacing w:val="4"/>
              </w:rPr>
              <w:t>投标文件正、副本份数符合招标文件第二章“投</w:t>
            </w:r>
            <w:r>
              <w:rPr>
                <w:spacing w:val="3"/>
              </w:rPr>
              <w:t>标人须知”</w:t>
            </w:r>
            <w:r>
              <w:rPr>
                <w:spacing w:val="-2"/>
              </w:rPr>
              <w:t>第3.7.4项规定</w:t>
            </w:r>
          </w:p>
          <w:p w14:paraId="078D8403">
            <w:pPr>
              <w:pStyle w:val="6"/>
              <w:spacing w:before="23" w:line="230" w:lineRule="auto"/>
              <w:ind w:left="114" w:right="280" w:firstLine="35"/>
            </w:pPr>
            <w:r>
              <w:rPr>
                <w:spacing w:val="-2"/>
              </w:rPr>
              <w:t>(15)施工组织设计采用暗标形式，其编制须满足招标文件要</w:t>
            </w:r>
            <w:r>
              <w:t>求</w:t>
            </w:r>
          </w:p>
          <w:p w14:paraId="08A6CAA2">
            <w:pPr>
              <w:pStyle w:val="6"/>
              <w:spacing w:before="21" w:line="230" w:lineRule="auto"/>
              <w:ind w:left="113" w:right="280" w:hanging="15"/>
            </w:pPr>
            <w:r>
              <w:rPr>
                <w:spacing w:val="-1"/>
              </w:rPr>
              <w:t>“施工组织设计”采用暗标形式，其编制须满足招标文件要</w:t>
            </w:r>
            <w:r>
              <w:rPr>
                <w:spacing w:val="-10"/>
              </w:rPr>
              <w:t>求。</w:t>
            </w:r>
          </w:p>
          <w:p w14:paraId="16F5E368">
            <w:pPr>
              <w:pStyle w:val="6"/>
              <w:spacing w:before="21" w:line="233" w:lineRule="auto"/>
              <w:ind w:left="116" w:right="280" w:firstLine="33"/>
              <w:jc w:val="both"/>
            </w:pPr>
            <w:r>
              <w:rPr>
                <w:spacing w:val="-2"/>
              </w:rPr>
              <w:t>(16)未发现投标人与其他投标人存在使用同一不可篡改的唯</w:t>
            </w:r>
            <w:r>
              <w:rPr>
                <w:spacing w:val="-1"/>
              </w:rPr>
              <w:t>一标识软硬件设备投标的如MAC地址、标书制作特征码、标</w:t>
            </w:r>
            <w:r>
              <w:rPr>
                <w:spacing w:val="-2"/>
              </w:rPr>
              <w:t>书唯一特征码等</w:t>
            </w:r>
          </w:p>
          <w:p w14:paraId="76DBCD7C">
            <w:pPr>
              <w:pStyle w:val="6"/>
              <w:spacing w:before="21" w:line="233" w:lineRule="auto"/>
              <w:ind w:left="114" w:right="122" w:firstLine="1"/>
            </w:pPr>
            <w:r>
              <w:t>未发现投标人与其他投标人存在使用同一不</w:t>
            </w:r>
            <w:r>
              <w:rPr>
                <w:spacing w:val="-1"/>
              </w:rPr>
              <w:t>可篡改的唯一标识软硬件设备投标的（如：MAC地址、标书制作特征码、标书唯一特征码等）。</w:t>
            </w:r>
          </w:p>
          <w:p w14:paraId="20ED2E31">
            <w:pPr>
              <w:pStyle w:val="6"/>
              <w:spacing w:before="22" w:line="230" w:lineRule="auto"/>
              <w:ind w:left="115" w:right="1751" w:firstLine="34"/>
            </w:pPr>
            <w:r>
              <w:rPr>
                <w:spacing w:val="-2"/>
              </w:rPr>
              <w:t>(17)投标人须提供不拖欠农民工工资承诺书</w:t>
            </w:r>
            <w:r>
              <w:rPr>
                <w:spacing w:val="-1"/>
              </w:rPr>
              <w:t>投标人须提供不拖欠农民工工资承诺书</w:t>
            </w:r>
          </w:p>
          <w:p w14:paraId="7FDADE29">
            <w:pPr>
              <w:pStyle w:val="6"/>
              <w:spacing w:before="21" w:line="230" w:lineRule="auto"/>
              <w:ind w:left="116" w:right="1540" w:firstLine="33"/>
            </w:pPr>
            <w:r>
              <w:rPr>
                <w:spacing w:val="-2"/>
              </w:rPr>
              <w:t>(18)项目经理、项目总工在岗要求书面承诺函</w:t>
            </w:r>
            <w:r>
              <w:rPr>
                <w:spacing w:val="-1"/>
              </w:rPr>
              <w:t>项目经理、项目总工在岗要求书面承诺函</w:t>
            </w:r>
          </w:p>
          <w:p w14:paraId="2360DD07">
            <w:pPr>
              <w:pStyle w:val="6"/>
              <w:spacing w:before="22" w:line="230" w:lineRule="auto"/>
              <w:ind w:left="115" w:right="911" w:firstLine="34"/>
            </w:pPr>
            <w:r>
              <w:rPr>
                <w:spacing w:val="-2"/>
              </w:rPr>
              <w:t>(19)投标人财产银行基本账户未被接管或冻结承诺书</w:t>
            </w:r>
            <w:r>
              <w:rPr>
                <w:spacing w:val="-1"/>
              </w:rPr>
              <w:t>投标人财产(银行基本账户)未被接管或冻结承诺书</w:t>
            </w:r>
          </w:p>
          <w:p w14:paraId="5CE205FE">
            <w:pPr>
              <w:pStyle w:val="6"/>
              <w:spacing w:before="20" w:line="230" w:lineRule="auto"/>
              <w:ind w:left="115" w:right="2380" w:firstLine="34"/>
            </w:pPr>
            <w:r>
              <w:rPr>
                <w:spacing w:val="-3"/>
              </w:rPr>
              <w:t>(20)投标人须提供投标人告知承诺函</w:t>
            </w:r>
            <w:r>
              <w:rPr>
                <w:spacing w:val="-1"/>
              </w:rPr>
              <w:t>投标人须提供投标人告知承诺函</w:t>
            </w:r>
          </w:p>
          <w:p w14:paraId="13C2E341">
            <w:pPr>
              <w:pStyle w:val="6"/>
              <w:spacing w:before="23" w:line="230" w:lineRule="auto"/>
              <w:ind w:left="133" w:right="2380" w:firstLine="17"/>
            </w:pPr>
            <w:r>
              <w:rPr>
                <w:spacing w:val="-3"/>
              </w:rPr>
              <w:t>(21)中标人不转包不违规分包承诺书</w:t>
            </w:r>
            <w:r>
              <w:rPr>
                <w:spacing w:val="-2"/>
              </w:rPr>
              <w:t>中标人不转包不违规分包承诺书</w:t>
            </w:r>
          </w:p>
          <w:p w14:paraId="3DDC6C6A">
            <w:pPr>
              <w:pStyle w:val="6"/>
              <w:spacing w:before="21" w:line="219" w:lineRule="auto"/>
              <w:ind w:left="113"/>
            </w:pPr>
            <w:r>
              <w:rPr>
                <w:spacing w:val="-2"/>
              </w:rPr>
              <w:t>第二个信封（报价文件）评审标准：</w:t>
            </w:r>
          </w:p>
          <w:p w14:paraId="05AC9FB8">
            <w:pPr>
              <w:pStyle w:val="6"/>
              <w:spacing w:before="25" w:line="229" w:lineRule="auto"/>
              <w:ind w:left="114" w:right="177" w:firstLine="35"/>
            </w:pPr>
            <w:r>
              <w:rPr>
                <w:spacing w:val="-2"/>
              </w:rPr>
              <w:t>(1)投标文件按照招标文件规定的格式、内容填写，字迹清晰可辨</w:t>
            </w:r>
          </w:p>
          <w:p w14:paraId="2E7FF54D">
            <w:pPr>
              <w:pStyle w:val="6"/>
              <w:spacing w:before="23" w:line="229" w:lineRule="auto"/>
              <w:ind w:left="114" w:right="280"/>
            </w:pPr>
            <w:r>
              <w:t>a.投标函按招标文件规定填报了项目名称、标段</w:t>
            </w:r>
            <w:r>
              <w:rPr>
                <w:spacing w:val="-1"/>
              </w:rPr>
              <w:t>号、补遗书编号（如有）、投标价（包括大写金额和小写金额</w:t>
            </w:r>
            <w:r>
              <w:rPr>
                <w:spacing w:val="-5"/>
              </w:rPr>
              <w:t>）；</w:t>
            </w:r>
          </w:p>
          <w:p w14:paraId="6A7357D3">
            <w:pPr>
              <w:pStyle w:val="6"/>
              <w:spacing w:before="26" w:line="229" w:lineRule="auto"/>
              <w:ind w:left="117" w:right="280" w:hanging="8"/>
            </w:pPr>
            <w:r>
              <w:t>b.已标价工程量清单说明文字与招标文件规定一致，未进行</w:t>
            </w:r>
            <w:r>
              <w:rPr>
                <w:spacing w:val="-2"/>
              </w:rPr>
              <w:t>实质性修改和删减；</w:t>
            </w:r>
          </w:p>
          <w:p w14:paraId="0F3E9E4F">
            <w:pPr>
              <w:pStyle w:val="6"/>
              <w:spacing w:before="22" w:line="221" w:lineRule="auto"/>
              <w:ind w:left="117"/>
            </w:pPr>
            <w:r>
              <w:rPr>
                <w:spacing w:val="-1"/>
              </w:rPr>
              <w:t>c.投标文件组成齐全完整，内容均按规定填写。</w:t>
            </w:r>
          </w:p>
          <w:p w14:paraId="63BC202C">
            <w:pPr>
              <w:pStyle w:val="6"/>
              <w:spacing w:before="20" w:line="229" w:lineRule="auto"/>
              <w:ind w:left="114" w:right="177" w:firstLine="35"/>
            </w:pPr>
            <w:r>
              <w:rPr>
                <w:spacing w:val="-2"/>
              </w:rPr>
              <w:t>(2)投标文件上法定代表人或其委托代理人的签字、投标人的</w:t>
            </w:r>
            <w:r>
              <w:rPr>
                <w:spacing w:val="-1"/>
              </w:rPr>
              <w:t>单位章盖章齐全，符合招标文件规定</w:t>
            </w:r>
          </w:p>
          <w:p w14:paraId="24853632">
            <w:pPr>
              <w:pStyle w:val="6"/>
              <w:spacing w:before="24" w:line="229" w:lineRule="auto"/>
              <w:ind w:left="113" w:right="280" w:firstLine="2"/>
            </w:pPr>
            <w:r>
              <w:t>投标文件上法定代表人或其委托代理人的签</w:t>
            </w:r>
            <w:r>
              <w:rPr>
                <w:spacing w:val="-1"/>
              </w:rPr>
              <w:t>字、投标人的单位章盖章齐全，符合招标文件规定</w:t>
            </w:r>
          </w:p>
          <w:p w14:paraId="5295CCDB">
            <w:pPr>
              <w:pStyle w:val="6"/>
              <w:spacing w:before="23" w:line="229" w:lineRule="auto"/>
              <w:ind w:left="114" w:right="177" w:firstLine="36"/>
            </w:pPr>
            <w:r>
              <w:rPr>
                <w:spacing w:val="-2"/>
              </w:rPr>
              <w:t>(3)投标报价或调价函中的报价未超过招标文件设定的最高投</w:t>
            </w:r>
            <w:r>
              <w:rPr>
                <w:spacing w:val="-5"/>
              </w:rPr>
              <w:t>标限价（如有）</w:t>
            </w:r>
          </w:p>
          <w:p w14:paraId="685E592B">
            <w:pPr>
              <w:pStyle w:val="6"/>
              <w:spacing w:before="24" w:line="229" w:lineRule="auto"/>
              <w:ind w:left="127" w:right="280" w:hanging="12"/>
            </w:pPr>
            <w:r>
              <w:t>投标报价或调价函中的报价未超过招标文件</w:t>
            </w:r>
            <w:r>
              <w:rPr>
                <w:spacing w:val="-1"/>
              </w:rPr>
              <w:t>设定的最高投标</w:t>
            </w:r>
            <w:r>
              <w:rPr>
                <w:spacing w:val="-4"/>
              </w:rPr>
              <w:t>限价（如有）</w:t>
            </w:r>
          </w:p>
          <w:p w14:paraId="64F6C1CB">
            <w:pPr>
              <w:pStyle w:val="6"/>
              <w:spacing w:before="24" w:line="229" w:lineRule="auto"/>
              <w:ind w:left="115" w:right="386" w:firstLine="34"/>
            </w:pPr>
            <w:r>
              <w:rPr>
                <w:spacing w:val="-2"/>
              </w:rPr>
              <w:t>(4)投标报价或调价函中报价的大写金额能够确定具体数值</w:t>
            </w:r>
            <w:r>
              <w:rPr>
                <w:spacing w:val="-1"/>
              </w:rPr>
              <w:t>投标报价或调价函中报价的大写金额能够确定具体数值</w:t>
            </w:r>
          </w:p>
          <w:p w14:paraId="403CDF30">
            <w:pPr>
              <w:pStyle w:val="6"/>
              <w:spacing w:before="26" w:line="229" w:lineRule="auto"/>
              <w:ind w:left="114" w:right="177" w:firstLine="36"/>
            </w:pPr>
            <w:r>
              <w:rPr>
                <w:spacing w:val="-2"/>
              </w:rPr>
              <w:t>(5)同一投标人未提交两个以上不同的投标报价，但招标文件</w:t>
            </w:r>
            <w:r>
              <w:rPr>
                <w:spacing w:val="-1"/>
              </w:rPr>
              <w:t>要求提交备选投标的除外</w:t>
            </w:r>
          </w:p>
          <w:p w14:paraId="2654F27A">
            <w:pPr>
              <w:pStyle w:val="6"/>
              <w:spacing w:before="24" w:line="229" w:lineRule="auto"/>
              <w:ind w:left="114" w:right="280" w:firstLine="19"/>
            </w:pPr>
            <w:r>
              <w:rPr>
                <w:spacing w:val="-1"/>
              </w:rPr>
              <w:t>同一投标人未提交两个以上不同的投标报价，但招标文件要求提交备选投标的除外</w:t>
            </w:r>
          </w:p>
          <w:p w14:paraId="4BFC3C8E">
            <w:pPr>
              <w:pStyle w:val="6"/>
              <w:spacing w:before="24" w:line="229" w:lineRule="auto"/>
              <w:ind w:left="114" w:right="177" w:firstLine="35"/>
            </w:pPr>
            <w:r>
              <w:rPr>
                <w:spacing w:val="-2"/>
              </w:rPr>
              <w:t>(6)投标人若提交调价函，调价函符合招标文件第二章“投标</w:t>
            </w:r>
            <w:r>
              <w:rPr>
                <w:spacing w:val="-5"/>
              </w:rPr>
              <w:t>人须知”第3.2.6项要求</w:t>
            </w:r>
          </w:p>
          <w:p w14:paraId="7ADBABEE">
            <w:pPr>
              <w:pStyle w:val="6"/>
              <w:spacing w:before="23" w:line="229" w:lineRule="auto"/>
              <w:ind w:left="115" w:right="280"/>
            </w:pPr>
            <w:r>
              <w:t>投标人若提交调价函，调价函符合招标文件第</w:t>
            </w:r>
            <w:r>
              <w:rPr>
                <w:spacing w:val="-1"/>
              </w:rPr>
              <w:t>二章“投标人</w:t>
            </w:r>
            <w:r>
              <w:rPr>
                <w:spacing w:val="-4"/>
              </w:rPr>
              <w:t>须知”第3.2.6项要求</w:t>
            </w:r>
          </w:p>
        </w:tc>
      </w:tr>
    </w:tbl>
    <w:p w14:paraId="27BC6CF1">
      <w:pPr>
        <w:pStyle w:val="2"/>
      </w:pPr>
    </w:p>
    <w:p w14:paraId="489DF52A">
      <w:pPr>
        <w:sectPr>
          <w:footerReference r:id="rId7" w:type="default"/>
          <w:pgSz w:w="11912" w:h="16851"/>
          <w:pgMar w:top="400" w:right="1685" w:bottom="1024" w:left="1687" w:header="0" w:footer="861" w:gutter="0"/>
          <w:cols w:space="720" w:num="1"/>
        </w:sectPr>
      </w:pPr>
    </w:p>
    <w:p w14:paraId="58B998F5">
      <w:pPr>
        <w:spacing w:before="19"/>
      </w:pPr>
    </w:p>
    <w:p w14:paraId="391822D0">
      <w:pPr>
        <w:spacing w:before="19"/>
      </w:pPr>
    </w:p>
    <w:p w14:paraId="44C6ACA4">
      <w:pPr>
        <w:spacing w:before="18"/>
      </w:pPr>
    </w:p>
    <w:p w14:paraId="39B4EC12">
      <w:pPr>
        <w:spacing w:before="18"/>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2"/>
        <w:gridCol w:w="1375"/>
        <w:gridCol w:w="5856"/>
      </w:tblGrid>
      <w:tr w14:paraId="7EEE0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7" w:hRule="atLeast"/>
        </w:trPr>
        <w:tc>
          <w:tcPr>
            <w:tcW w:w="1302" w:type="dxa"/>
            <w:vAlign w:val="top"/>
          </w:tcPr>
          <w:p w14:paraId="61F935B5">
            <w:pPr>
              <w:rPr>
                <w:rFonts w:ascii="Arial"/>
                <w:sz w:val="21"/>
              </w:rPr>
            </w:pPr>
          </w:p>
        </w:tc>
        <w:tc>
          <w:tcPr>
            <w:tcW w:w="1375" w:type="dxa"/>
            <w:vAlign w:val="top"/>
          </w:tcPr>
          <w:p w14:paraId="65B29993">
            <w:pPr>
              <w:rPr>
                <w:rFonts w:ascii="Arial"/>
                <w:sz w:val="21"/>
              </w:rPr>
            </w:pPr>
          </w:p>
        </w:tc>
        <w:tc>
          <w:tcPr>
            <w:tcW w:w="5856" w:type="dxa"/>
            <w:vAlign w:val="top"/>
          </w:tcPr>
          <w:p w14:paraId="67E555CF">
            <w:pPr>
              <w:pStyle w:val="6"/>
              <w:spacing w:before="131" w:line="234" w:lineRule="auto"/>
              <w:ind w:left="111" w:right="177" w:firstLine="38"/>
              <w:jc w:val="both"/>
            </w:pPr>
            <w:r>
              <w:rPr>
                <w:spacing w:val="-2"/>
              </w:rPr>
              <w:t>(7)投标人若填写工程量固化清单，填写完毕的工程量固化清</w:t>
            </w:r>
            <w:r>
              <w:t>单未对工程量固化清单电子文件中的数据、格式和</w:t>
            </w:r>
            <w:r>
              <w:rPr>
                <w:spacing w:val="-1"/>
              </w:rPr>
              <w:t>运算定义</w:t>
            </w:r>
            <w:r>
              <w:t>进行修改；工程量固化清单中的投标报价和投标函</w:t>
            </w:r>
            <w:r>
              <w:rPr>
                <w:spacing w:val="-1"/>
              </w:rPr>
              <w:t>大写金额报价一致</w:t>
            </w:r>
          </w:p>
          <w:p w14:paraId="10BF7114">
            <w:pPr>
              <w:pStyle w:val="6"/>
              <w:spacing w:before="24" w:line="234" w:lineRule="auto"/>
              <w:ind w:left="114" w:right="177" w:firstLine="1"/>
              <w:jc w:val="both"/>
            </w:pPr>
            <w:r>
              <w:t>投标人若填写工程量固化清单，填写完毕的</w:t>
            </w:r>
            <w:r>
              <w:rPr>
                <w:spacing w:val="-1"/>
              </w:rPr>
              <w:t>工程量固化清单</w:t>
            </w:r>
            <w:r>
              <w:t>未对工程量固化清单电子文件中的数据、格式和</w:t>
            </w:r>
            <w:r>
              <w:rPr>
                <w:spacing w:val="-1"/>
              </w:rPr>
              <w:t>运算定义进</w:t>
            </w:r>
            <w:r>
              <w:t>行修改；工程量固化清单中的投标报价和投</w:t>
            </w:r>
            <w:r>
              <w:rPr>
                <w:spacing w:val="-1"/>
              </w:rPr>
              <w:t>标函大写金额报</w:t>
            </w:r>
            <w:r>
              <w:rPr>
                <w:spacing w:val="-2"/>
              </w:rPr>
              <w:t>价一致</w:t>
            </w:r>
          </w:p>
          <w:p w14:paraId="2BAC741E">
            <w:pPr>
              <w:pStyle w:val="6"/>
              <w:spacing w:before="25" w:line="229" w:lineRule="auto"/>
              <w:ind w:left="117" w:right="385" w:firstLine="32"/>
            </w:pPr>
            <w:r>
              <w:rPr>
                <w:spacing w:val="-2"/>
              </w:rPr>
              <w:t>(8)投标文件正、副本份数符合招标文件第二章“投标人须</w:t>
            </w:r>
            <w:r>
              <w:rPr>
                <w:spacing w:val="-4"/>
              </w:rPr>
              <w:t>知”第3.7.4项规定</w:t>
            </w:r>
          </w:p>
          <w:p w14:paraId="5970687E">
            <w:pPr>
              <w:pStyle w:val="6"/>
              <w:spacing w:before="23" w:line="229" w:lineRule="auto"/>
              <w:ind w:left="113" w:right="175" w:firstLine="2"/>
            </w:pPr>
            <w:r>
              <w:rPr>
                <w:spacing w:val="4"/>
              </w:rPr>
              <w:t>投标文件正、副本份数符合招标文件第二章“投</w:t>
            </w:r>
            <w:r>
              <w:rPr>
                <w:spacing w:val="3"/>
              </w:rPr>
              <w:t>标人须知”</w:t>
            </w:r>
            <w:r>
              <w:rPr>
                <w:spacing w:val="-2"/>
              </w:rPr>
              <w:t>第3.7.4项规定</w:t>
            </w:r>
          </w:p>
          <w:p w14:paraId="7EC87208">
            <w:pPr>
              <w:pStyle w:val="6"/>
              <w:spacing w:before="19" w:line="231" w:lineRule="auto"/>
              <w:ind w:left="113" w:right="177" w:firstLine="37"/>
            </w:pPr>
            <w:r>
              <w:rPr>
                <w:spacing w:val="-2"/>
              </w:rPr>
              <w:t>(9)工程量清单中投标单价小数点后保留两位，合价、总价精确至个位</w:t>
            </w:r>
          </w:p>
          <w:p w14:paraId="43B7A79E">
            <w:pPr>
              <w:pStyle w:val="6"/>
              <w:spacing w:before="22" w:line="233" w:lineRule="auto"/>
              <w:ind w:left="114" w:right="176"/>
              <w:jc w:val="both"/>
            </w:pPr>
            <w:r>
              <w:t>工程量清单中投标单价小数点后保留两位，</w:t>
            </w:r>
            <w:r>
              <w:rPr>
                <w:spacing w:val="-1"/>
              </w:rPr>
              <w:t>合价、总价精确</w:t>
            </w:r>
            <w:r>
              <w:t>至个位（四舍五入）。（数字后出现的“.00</w:t>
            </w:r>
            <w:r>
              <w:rPr>
                <w:spacing w:val="-1"/>
              </w:rPr>
              <w:t>”视为符合精确</w:t>
            </w:r>
            <w:r>
              <w:rPr>
                <w:spacing w:val="-2"/>
              </w:rPr>
              <w:t>至个位的要求）</w:t>
            </w:r>
          </w:p>
          <w:p w14:paraId="0E2C484B">
            <w:pPr>
              <w:pStyle w:val="6"/>
              <w:spacing w:before="22" w:line="233" w:lineRule="auto"/>
              <w:ind w:left="116" w:right="280" w:firstLine="33"/>
              <w:jc w:val="both"/>
            </w:pPr>
            <w:r>
              <w:rPr>
                <w:spacing w:val="-2"/>
              </w:rPr>
              <w:t>(10)未发现投标人与其他投标人存在使用同一不可篡改的唯</w:t>
            </w:r>
            <w:r>
              <w:rPr>
                <w:spacing w:val="-1"/>
              </w:rPr>
              <w:t>一标识软硬件设备投标的如MAC地址、标书制作特征码、标</w:t>
            </w:r>
            <w:r>
              <w:rPr>
                <w:spacing w:val="-2"/>
              </w:rPr>
              <w:t>书唯一特征码等</w:t>
            </w:r>
          </w:p>
          <w:p w14:paraId="20F1139D">
            <w:pPr>
              <w:pStyle w:val="6"/>
              <w:spacing w:before="22" w:line="233" w:lineRule="auto"/>
              <w:ind w:left="114" w:right="122" w:firstLine="1"/>
            </w:pPr>
            <w:r>
              <w:t>未发现投标人与其他投标人存在使用同一不</w:t>
            </w:r>
            <w:r>
              <w:rPr>
                <w:spacing w:val="-1"/>
              </w:rPr>
              <w:t>可篡改的唯一标识软硬件设备投标的（如：MAC地址、标书制作特征码、标书唯一特征码等）。</w:t>
            </w:r>
          </w:p>
        </w:tc>
      </w:tr>
      <w:tr w14:paraId="40D56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6" w:hRule="atLeast"/>
        </w:trPr>
        <w:tc>
          <w:tcPr>
            <w:tcW w:w="1302" w:type="dxa"/>
            <w:vAlign w:val="top"/>
          </w:tcPr>
          <w:p w14:paraId="2B3C7CEA">
            <w:pPr>
              <w:spacing w:line="265" w:lineRule="auto"/>
              <w:rPr>
                <w:rFonts w:ascii="Arial"/>
                <w:sz w:val="21"/>
              </w:rPr>
            </w:pPr>
          </w:p>
          <w:p w14:paraId="77DBD228">
            <w:pPr>
              <w:spacing w:line="265" w:lineRule="auto"/>
              <w:rPr>
                <w:rFonts w:ascii="Arial"/>
                <w:sz w:val="21"/>
              </w:rPr>
            </w:pPr>
          </w:p>
          <w:p w14:paraId="7E5502C5">
            <w:pPr>
              <w:spacing w:line="266" w:lineRule="auto"/>
              <w:rPr>
                <w:rFonts w:ascii="Arial"/>
                <w:sz w:val="21"/>
              </w:rPr>
            </w:pPr>
          </w:p>
          <w:p w14:paraId="64BDED9B">
            <w:pPr>
              <w:spacing w:line="266" w:lineRule="auto"/>
              <w:rPr>
                <w:rFonts w:ascii="Arial"/>
                <w:sz w:val="21"/>
              </w:rPr>
            </w:pPr>
          </w:p>
          <w:p w14:paraId="7C549F66">
            <w:pPr>
              <w:spacing w:line="266" w:lineRule="auto"/>
              <w:rPr>
                <w:rFonts w:ascii="Arial"/>
                <w:sz w:val="21"/>
              </w:rPr>
            </w:pPr>
          </w:p>
          <w:p w14:paraId="2EF230FE">
            <w:pPr>
              <w:spacing w:line="266" w:lineRule="auto"/>
              <w:rPr>
                <w:rFonts w:ascii="Arial"/>
                <w:sz w:val="21"/>
              </w:rPr>
            </w:pPr>
          </w:p>
          <w:p w14:paraId="6C4640CE">
            <w:pPr>
              <w:spacing w:line="266" w:lineRule="auto"/>
              <w:rPr>
                <w:rFonts w:ascii="Arial"/>
                <w:sz w:val="21"/>
              </w:rPr>
            </w:pPr>
          </w:p>
          <w:p w14:paraId="0375E53F">
            <w:pPr>
              <w:spacing w:line="266" w:lineRule="auto"/>
              <w:rPr>
                <w:rFonts w:ascii="Arial"/>
                <w:sz w:val="21"/>
              </w:rPr>
            </w:pPr>
          </w:p>
          <w:p w14:paraId="0B50CB99">
            <w:pPr>
              <w:pStyle w:val="6"/>
              <w:spacing w:before="68" w:line="183" w:lineRule="auto"/>
              <w:ind w:left="394"/>
            </w:pPr>
            <w:r>
              <w:rPr>
                <w:spacing w:val="-2"/>
              </w:rPr>
              <w:t>2.1.2</w:t>
            </w:r>
          </w:p>
        </w:tc>
        <w:tc>
          <w:tcPr>
            <w:tcW w:w="1375" w:type="dxa"/>
            <w:vAlign w:val="top"/>
          </w:tcPr>
          <w:p w14:paraId="5E36E24A">
            <w:pPr>
              <w:spacing w:line="244" w:lineRule="auto"/>
              <w:rPr>
                <w:rFonts w:ascii="Arial"/>
                <w:sz w:val="21"/>
              </w:rPr>
            </w:pPr>
          </w:p>
          <w:p w14:paraId="3A5BF494">
            <w:pPr>
              <w:spacing w:line="244" w:lineRule="auto"/>
              <w:rPr>
                <w:rFonts w:ascii="Arial"/>
                <w:sz w:val="21"/>
              </w:rPr>
            </w:pPr>
          </w:p>
          <w:p w14:paraId="4E13F928">
            <w:pPr>
              <w:spacing w:line="244" w:lineRule="auto"/>
              <w:rPr>
                <w:rFonts w:ascii="Arial"/>
                <w:sz w:val="21"/>
              </w:rPr>
            </w:pPr>
          </w:p>
          <w:p w14:paraId="3323A865">
            <w:pPr>
              <w:spacing w:line="245" w:lineRule="auto"/>
              <w:rPr>
                <w:rFonts w:ascii="Arial"/>
                <w:sz w:val="21"/>
              </w:rPr>
            </w:pPr>
          </w:p>
          <w:p w14:paraId="2D3BC11E">
            <w:pPr>
              <w:spacing w:line="245" w:lineRule="auto"/>
              <w:rPr>
                <w:rFonts w:ascii="Arial"/>
                <w:sz w:val="21"/>
              </w:rPr>
            </w:pPr>
          </w:p>
          <w:p w14:paraId="0B61D393">
            <w:pPr>
              <w:spacing w:line="245" w:lineRule="auto"/>
              <w:rPr>
                <w:rFonts w:ascii="Arial"/>
                <w:sz w:val="21"/>
              </w:rPr>
            </w:pPr>
          </w:p>
          <w:p w14:paraId="6E87B812">
            <w:pPr>
              <w:spacing w:line="245" w:lineRule="auto"/>
              <w:rPr>
                <w:rFonts w:ascii="Arial"/>
                <w:sz w:val="21"/>
              </w:rPr>
            </w:pPr>
          </w:p>
          <w:p w14:paraId="23FEDD5B">
            <w:pPr>
              <w:spacing w:line="245" w:lineRule="auto"/>
              <w:rPr>
                <w:rFonts w:ascii="Arial"/>
                <w:sz w:val="21"/>
              </w:rPr>
            </w:pPr>
          </w:p>
          <w:p w14:paraId="11F87181">
            <w:pPr>
              <w:pStyle w:val="6"/>
              <w:spacing w:before="68" w:line="230" w:lineRule="auto"/>
              <w:ind w:left="587" w:right="159" w:hanging="413"/>
            </w:pPr>
            <w:r>
              <w:rPr>
                <w:spacing w:val="-3"/>
              </w:rPr>
              <w:t>资格评审标</w:t>
            </w:r>
            <w:r>
              <w:t>准</w:t>
            </w:r>
          </w:p>
        </w:tc>
        <w:tc>
          <w:tcPr>
            <w:tcW w:w="5856" w:type="dxa"/>
            <w:vAlign w:val="top"/>
          </w:tcPr>
          <w:p w14:paraId="0A6E795B">
            <w:pPr>
              <w:pStyle w:val="6"/>
              <w:spacing w:before="131" w:line="229" w:lineRule="auto"/>
              <w:ind w:left="117" w:right="386" w:firstLine="32"/>
            </w:pPr>
            <w:r>
              <w:rPr>
                <w:spacing w:val="-2"/>
              </w:rPr>
              <w:t>(1)投标人具备有效的营业执照、组织机构代码证、资质证书、安全生产许可证和基本账户开户许可证。</w:t>
            </w:r>
          </w:p>
          <w:p w14:paraId="7AECFF82">
            <w:pPr>
              <w:pStyle w:val="6"/>
              <w:spacing w:before="23" w:line="221" w:lineRule="auto"/>
              <w:ind w:left="150"/>
            </w:pPr>
            <w:r>
              <w:rPr>
                <w:spacing w:val="-3"/>
              </w:rPr>
              <w:t>(2)投标人的资质等级符合招标文件规定</w:t>
            </w:r>
          </w:p>
          <w:p w14:paraId="2CFD8F96">
            <w:pPr>
              <w:pStyle w:val="6"/>
              <w:spacing w:before="20" w:line="221" w:lineRule="auto"/>
              <w:ind w:left="150"/>
            </w:pPr>
            <w:r>
              <w:rPr>
                <w:spacing w:val="-3"/>
              </w:rPr>
              <w:t>(3)投标人的财务状况符合招标文件规定</w:t>
            </w:r>
          </w:p>
          <w:p w14:paraId="3B0D7AF7">
            <w:pPr>
              <w:pStyle w:val="6"/>
              <w:spacing w:before="22" w:line="221" w:lineRule="auto"/>
              <w:ind w:left="150"/>
            </w:pPr>
            <w:r>
              <w:rPr>
                <w:spacing w:val="-2"/>
              </w:rPr>
              <w:t>(4)投标人的类似项目业绩符合招标文件规定</w:t>
            </w:r>
          </w:p>
          <w:p w14:paraId="500D41D2">
            <w:pPr>
              <w:pStyle w:val="6"/>
              <w:spacing w:before="20" w:line="220" w:lineRule="auto"/>
              <w:ind w:left="150"/>
            </w:pPr>
            <w:r>
              <w:rPr>
                <w:spacing w:val="-3"/>
              </w:rPr>
              <w:t>(5)投标人的信誉符合招标文件规定</w:t>
            </w:r>
          </w:p>
          <w:p w14:paraId="436646D3">
            <w:pPr>
              <w:pStyle w:val="6"/>
              <w:spacing w:before="20" w:line="231" w:lineRule="auto"/>
              <w:ind w:left="112" w:right="177" w:firstLine="38"/>
            </w:pPr>
            <w:r>
              <w:rPr>
                <w:spacing w:val="-2"/>
              </w:rPr>
              <w:t>(6)投标人的项目经理和项目总工资格、在岗情况符合招标文</w:t>
            </w:r>
            <w:r>
              <w:rPr>
                <w:spacing w:val="-1"/>
              </w:rPr>
              <w:t>件规定</w:t>
            </w:r>
          </w:p>
          <w:p w14:paraId="2C6A0CCA">
            <w:pPr>
              <w:pStyle w:val="6"/>
              <w:spacing w:before="19" w:line="221" w:lineRule="auto"/>
              <w:ind w:left="150"/>
            </w:pPr>
            <w:r>
              <w:rPr>
                <w:spacing w:val="-3"/>
              </w:rPr>
              <w:t>(7)投标人的其他要求符合招标文件规定</w:t>
            </w:r>
          </w:p>
          <w:p w14:paraId="7A03759E">
            <w:pPr>
              <w:pStyle w:val="6"/>
              <w:spacing w:before="22" w:line="220" w:lineRule="auto"/>
              <w:ind w:left="150"/>
            </w:pPr>
            <w:r>
              <w:rPr>
                <w:spacing w:val="-2"/>
              </w:rPr>
              <w:t>(8)投标人不存在第二章“投标人须知”第</w:t>
            </w:r>
            <w:r>
              <w:rPr>
                <w:spacing w:val="-3"/>
              </w:rPr>
              <w:t>1.4.3项或第</w:t>
            </w:r>
          </w:p>
          <w:p w14:paraId="5CD9277E">
            <w:pPr>
              <w:pStyle w:val="6"/>
              <w:spacing w:before="20" w:line="221" w:lineRule="auto"/>
              <w:ind w:left="128"/>
            </w:pPr>
            <w:r>
              <w:rPr>
                <w:spacing w:val="-2"/>
              </w:rPr>
              <w:t>1.4.4项规定的任何一种情形</w:t>
            </w:r>
          </w:p>
          <w:p w14:paraId="3EAC44EA">
            <w:pPr>
              <w:pStyle w:val="6"/>
              <w:spacing w:before="23" w:line="220" w:lineRule="auto"/>
              <w:ind w:left="150"/>
            </w:pPr>
            <w:r>
              <w:rPr>
                <w:spacing w:val="-4"/>
              </w:rPr>
              <w:t>(9)投标人符合第二章“投标人须知”第1.4.5项规定</w:t>
            </w:r>
          </w:p>
          <w:p w14:paraId="643BC8A1">
            <w:pPr>
              <w:pStyle w:val="6"/>
              <w:spacing w:before="23" w:line="233" w:lineRule="auto"/>
              <w:ind w:left="115" w:right="177" w:firstLine="34"/>
            </w:pPr>
            <w:r>
              <w:rPr>
                <w:spacing w:val="-2"/>
              </w:rPr>
              <w:t>(10)以联合体形式参与投标的，联合体各方均未再以自己名</w:t>
            </w:r>
            <w:r>
              <w:t>义单独或参加其他联合体在同一标段中投</w:t>
            </w:r>
            <w:r>
              <w:rPr>
                <w:spacing w:val="-1"/>
              </w:rPr>
              <w:t>标；独立参与投标的，投标人未同时参加联合体在同一标段中投标</w:t>
            </w:r>
          </w:p>
        </w:tc>
      </w:tr>
      <w:tr w14:paraId="46C8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trPr>
        <w:tc>
          <w:tcPr>
            <w:tcW w:w="1302" w:type="dxa"/>
            <w:vAlign w:val="top"/>
          </w:tcPr>
          <w:p w14:paraId="4A05559B">
            <w:pPr>
              <w:spacing w:line="257" w:lineRule="auto"/>
              <w:rPr>
                <w:rFonts w:ascii="Arial"/>
                <w:sz w:val="21"/>
              </w:rPr>
            </w:pPr>
          </w:p>
          <w:p w14:paraId="6C282D52">
            <w:pPr>
              <w:spacing w:line="258" w:lineRule="auto"/>
              <w:rPr>
                <w:rFonts w:ascii="Arial"/>
                <w:sz w:val="21"/>
              </w:rPr>
            </w:pPr>
          </w:p>
          <w:p w14:paraId="1DC74D9F">
            <w:pPr>
              <w:spacing w:line="258" w:lineRule="auto"/>
              <w:rPr>
                <w:rFonts w:ascii="Arial"/>
                <w:sz w:val="21"/>
              </w:rPr>
            </w:pPr>
          </w:p>
          <w:p w14:paraId="1C20E66C">
            <w:pPr>
              <w:pStyle w:val="6"/>
              <w:spacing w:before="69" w:line="183" w:lineRule="auto"/>
              <w:ind w:left="394"/>
            </w:pPr>
            <w:r>
              <w:rPr>
                <w:spacing w:val="-2"/>
              </w:rPr>
              <w:t>2.2.1</w:t>
            </w:r>
          </w:p>
        </w:tc>
        <w:tc>
          <w:tcPr>
            <w:tcW w:w="1375" w:type="dxa"/>
            <w:vAlign w:val="top"/>
          </w:tcPr>
          <w:p w14:paraId="2E536051">
            <w:pPr>
              <w:pStyle w:val="6"/>
              <w:spacing w:before="267" w:line="221" w:lineRule="auto"/>
              <w:ind w:left="165"/>
            </w:pPr>
            <w:r>
              <w:rPr>
                <w:spacing w:val="-1"/>
              </w:rPr>
              <w:t>第一个信封</w:t>
            </w:r>
          </w:p>
          <w:p w14:paraId="4843D648">
            <w:pPr>
              <w:pStyle w:val="6"/>
              <w:spacing w:before="22" w:line="221" w:lineRule="auto"/>
              <w:ind w:left="164"/>
            </w:pPr>
            <w:r>
              <w:rPr>
                <w:spacing w:val="-1"/>
              </w:rPr>
              <w:t>评分分值构</w:t>
            </w:r>
          </w:p>
          <w:p w14:paraId="59204CE0">
            <w:pPr>
              <w:pStyle w:val="6"/>
              <w:spacing w:before="20" w:line="222" w:lineRule="auto"/>
              <w:ind w:left="587"/>
            </w:pPr>
            <w:r>
              <w:t>成</w:t>
            </w:r>
          </w:p>
          <w:p w14:paraId="2D2CD5E6">
            <w:pPr>
              <w:pStyle w:val="6"/>
              <w:spacing w:before="21" w:line="221" w:lineRule="auto"/>
              <w:ind w:left="382"/>
            </w:pPr>
            <w:r>
              <w:rPr>
                <w:spacing w:val="-5"/>
              </w:rPr>
              <w:t>（总分</w:t>
            </w:r>
          </w:p>
          <w:p w14:paraId="189EE3C3">
            <w:pPr>
              <w:pStyle w:val="6"/>
              <w:spacing w:before="19" w:line="221" w:lineRule="auto"/>
              <w:ind w:left="156"/>
            </w:pPr>
            <w:r>
              <w:rPr>
                <w:spacing w:val="-5"/>
              </w:rPr>
              <w:t>100.00分）</w:t>
            </w:r>
          </w:p>
        </w:tc>
        <w:tc>
          <w:tcPr>
            <w:tcW w:w="5856" w:type="dxa"/>
            <w:vAlign w:val="top"/>
          </w:tcPr>
          <w:p w14:paraId="46E7FD84">
            <w:pPr>
              <w:pStyle w:val="6"/>
              <w:spacing w:before="133" w:line="221" w:lineRule="auto"/>
              <w:ind w:left="112"/>
            </w:pPr>
            <w:r>
              <w:rPr>
                <w:spacing w:val="-1"/>
              </w:rPr>
              <w:t>施工组织设计：40.00分</w:t>
            </w:r>
          </w:p>
          <w:p w14:paraId="333287D2">
            <w:pPr>
              <w:pStyle w:val="6"/>
              <w:spacing w:before="19" w:line="221" w:lineRule="auto"/>
              <w:ind w:left="114"/>
            </w:pPr>
            <w:r>
              <w:rPr>
                <w:spacing w:val="-1"/>
              </w:rPr>
              <w:t>主要人员：25.00分</w:t>
            </w:r>
          </w:p>
          <w:p w14:paraId="3C8DD730">
            <w:pPr>
              <w:pStyle w:val="6"/>
              <w:spacing w:before="21" w:line="221" w:lineRule="auto"/>
              <w:ind w:left="114"/>
            </w:pPr>
            <w:r>
              <w:rPr>
                <w:spacing w:val="-1"/>
              </w:rPr>
              <w:t>其他因素：企业业绩及技术能力：15.0分</w:t>
            </w:r>
          </w:p>
          <w:p w14:paraId="6B33B62B">
            <w:pPr>
              <w:pStyle w:val="6"/>
              <w:spacing w:before="20" w:line="220" w:lineRule="auto"/>
              <w:ind w:left="116"/>
            </w:pPr>
            <w:r>
              <w:rPr>
                <w:spacing w:val="-4"/>
              </w:rPr>
              <w:t>履约信誉：20.0分</w:t>
            </w:r>
          </w:p>
        </w:tc>
      </w:tr>
    </w:tbl>
    <w:p w14:paraId="465828CD">
      <w:pPr>
        <w:pStyle w:val="2"/>
      </w:pPr>
    </w:p>
    <w:p w14:paraId="721DD5E3">
      <w:pPr>
        <w:sectPr>
          <w:footerReference r:id="rId8" w:type="default"/>
          <w:pgSz w:w="11912" w:h="16851"/>
          <w:pgMar w:top="400" w:right="1685" w:bottom="1025" w:left="1687" w:header="0" w:footer="861" w:gutter="0"/>
          <w:cols w:space="720" w:num="1"/>
        </w:sectPr>
      </w:pPr>
    </w:p>
    <w:p w14:paraId="4539EE9D">
      <w:pPr>
        <w:spacing w:before="19"/>
      </w:pPr>
    </w:p>
    <w:p w14:paraId="79E5925D">
      <w:pPr>
        <w:spacing w:before="19"/>
      </w:pPr>
    </w:p>
    <w:p w14:paraId="121E116C">
      <w:pPr>
        <w:spacing w:before="18"/>
      </w:pPr>
    </w:p>
    <w:p w14:paraId="055AD7EA">
      <w:pPr>
        <w:spacing w:before="18"/>
      </w:pPr>
    </w:p>
    <w:tbl>
      <w:tblPr>
        <w:tblStyle w:val="7"/>
        <w:tblW w:w="8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735"/>
        <w:gridCol w:w="5578"/>
      </w:tblGrid>
      <w:tr w14:paraId="6335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225" w:type="dxa"/>
            <w:vAlign w:val="top"/>
          </w:tcPr>
          <w:p w14:paraId="274AE4C4">
            <w:pPr>
              <w:spacing w:line="244" w:lineRule="auto"/>
              <w:rPr>
                <w:rFonts w:ascii="Arial"/>
                <w:sz w:val="21"/>
              </w:rPr>
            </w:pPr>
          </w:p>
          <w:p w14:paraId="4A6225FA">
            <w:pPr>
              <w:spacing w:line="245" w:lineRule="auto"/>
              <w:rPr>
                <w:rFonts w:ascii="Arial"/>
                <w:sz w:val="21"/>
              </w:rPr>
            </w:pPr>
          </w:p>
          <w:p w14:paraId="31016B2F">
            <w:pPr>
              <w:spacing w:before="64" w:line="179" w:lineRule="auto"/>
              <w:ind w:left="119"/>
              <w:rPr>
                <w:rFonts w:ascii="Calibri" w:hAnsi="Calibri" w:eastAsia="Calibri" w:cs="Calibri"/>
                <w:sz w:val="21"/>
                <w:szCs w:val="21"/>
              </w:rPr>
            </w:pPr>
            <w:r>
              <w:rPr>
                <w:rFonts w:ascii="Calibri" w:hAnsi="Calibri" w:eastAsia="Calibri" w:cs="Calibri"/>
                <w:spacing w:val="-2"/>
                <w:sz w:val="21"/>
                <w:szCs w:val="21"/>
              </w:rPr>
              <w:t>2.2.3</w:t>
            </w:r>
          </w:p>
        </w:tc>
        <w:tc>
          <w:tcPr>
            <w:tcW w:w="1735" w:type="dxa"/>
            <w:vAlign w:val="top"/>
          </w:tcPr>
          <w:p w14:paraId="17EC98A0">
            <w:pPr>
              <w:spacing w:line="305" w:lineRule="auto"/>
              <w:rPr>
                <w:rFonts w:ascii="Arial"/>
                <w:sz w:val="21"/>
              </w:rPr>
            </w:pPr>
          </w:p>
          <w:p w14:paraId="77DF051B">
            <w:pPr>
              <w:pStyle w:val="6"/>
              <w:spacing w:before="68" w:line="230" w:lineRule="auto"/>
              <w:ind w:left="449" w:right="105" w:hanging="337"/>
            </w:pPr>
            <w:r>
              <w:rPr>
                <w:spacing w:val="-3"/>
              </w:rPr>
              <w:t>第二个信封详细</w:t>
            </w:r>
            <w:r>
              <w:rPr>
                <w:spacing w:val="-1"/>
              </w:rPr>
              <w:t>评审标准</w:t>
            </w:r>
          </w:p>
        </w:tc>
        <w:tc>
          <w:tcPr>
            <w:tcW w:w="5578" w:type="dxa"/>
            <w:vAlign w:val="top"/>
          </w:tcPr>
          <w:p w14:paraId="17CF36DA">
            <w:pPr>
              <w:pStyle w:val="6"/>
              <w:spacing w:before="34" w:line="219" w:lineRule="auto"/>
              <w:ind w:left="110"/>
            </w:pPr>
            <w:r>
              <w:rPr>
                <w:spacing w:val="-1"/>
              </w:rPr>
              <w:t>评标价计算公式：</w:t>
            </w:r>
          </w:p>
          <w:p w14:paraId="64A90CF4">
            <w:pPr>
              <w:pStyle w:val="6"/>
              <w:spacing w:before="160" w:line="343" w:lineRule="auto"/>
              <w:ind w:left="110" w:right="115" w:firstLine="419"/>
              <w:rPr>
                <w:sz w:val="11"/>
                <w:szCs w:val="11"/>
              </w:rPr>
            </w:pPr>
            <w:r>
              <w:rPr>
                <w:spacing w:val="4"/>
              </w:rPr>
              <w:t>评标价＝修正后的投标报价－暂估价－暂列金额（不</w:t>
            </w:r>
            <w:r>
              <w:rPr>
                <w:spacing w:val="-1"/>
              </w:rPr>
              <w:t>含计日工总额）</w:t>
            </w:r>
            <w:r>
              <w:rPr>
                <w:spacing w:val="-1"/>
                <w:position w:val="6"/>
                <w:sz w:val="11"/>
                <w:szCs w:val="11"/>
              </w:rPr>
              <w:t>①</w:t>
            </w:r>
          </w:p>
        </w:tc>
      </w:tr>
      <w:tr w14:paraId="1771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225" w:type="dxa"/>
            <w:vAlign w:val="top"/>
          </w:tcPr>
          <w:p w14:paraId="181C099A">
            <w:pPr>
              <w:spacing w:line="344" w:lineRule="auto"/>
              <w:rPr>
                <w:rFonts w:ascii="Arial"/>
                <w:sz w:val="21"/>
              </w:rPr>
            </w:pPr>
          </w:p>
          <w:p w14:paraId="2B1CA6A3">
            <w:pPr>
              <w:spacing w:line="345" w:lineRule="auto"/>
              <w:rPr>
                <w:rFonts w:ascii="Arial"/>
                <w:sz w:val="21"/>
              </w:rPr>
            </w:pPr>
          </w:p>
          <w:p w14:paraId="3C67061E">
            <w:pPr>
              <w:spacing w:before="64" w:line="179" w:lineRule="auto"/>
              <w:ind w:left="118"/>
              <w:rPr>
                <w:rFonts w:ascii="Calibri" w:hAnsi="Calibri" w:eastAsia="Calibri" w:cs="Calibri"/>
                <w:sz w:val="21"/>
                <w:szCs w:val="21"/>
              </w:rPr>
            </w:pPr>
            <w:r>
              <w:rPr>
                <w:rFonts w:ascii="Calibri" w:hAnsi="Calibri" w:eastAsia="Calibri" w:cs="Calibri"/>
                <w:spacing w:val="-2"/>
                <w:sz w:val="21"/>
                <w:szCs w:val="21"/>
              </w:rPr>
              <w:t>3.2.4</w:t>
            </w:r>
          </w:p>
        </w:tc>
        <w:tc>
          <w:tcPr>
            <w:tcW w:w="1735" w:type="dxa"/>
            <w:vAlign w:val="top"/>
          </w:tcPr>
          <w:p w14:paraId="34F441C4">
            <w:pPr>
              <w:spacing w:line="369" w:lineRule="auto"/>
              <w:rPr>
                <w:rFonts w:ascii="Arial"/>
                <w:sz w:val="21"/>
              </w:rPr>
            </w:pPr>
          </w:p>
          <w:p w14:paraId="533FDC31">
            <w:pPr>
              <w:pStyle w:val="6"/>
              <w:spacing w:before="69" w:line="233" w:lineRule="auto"/>
              <w:ind w:left="113" w:right="104" w:hanging="1"/>
              <w:jc w:val="both"/>
            </w:pPr>
            <w:r>
              <w:rPr>
                <w:spacing w:val="6"/>
              </w:rPr>
              <w:t>通过第一个信封</w:t>
            </w:r>
            <w:r>
              <w:rPr>
                <w:spacing w:val="5"/>
              </w:rPr>
              <w:t>详细评审的投标</w:t>
            </w:r>
            <w:r>
              <w:rPr>
                <w:spacing w:val="-2"/>
              </w:rPr>
              <w:t>人数量</w:t>
            </w:r>
          </w:p>
        </w:tc>
        <w:tc>
          <w:tcPr>
            <w:tcW w:w="5578" w:type="dxa"/>
            <w:vAlign w:val="top"/>
          </w:tcPr>
          <w:p w14:paraId="11E4B568">
            <w:pPr>
              <w:pStyle w:val="6"/>
              <w:spacing w:before="32" w:line="351" w:lineRule="auto"/>
              <w:ind w:left="110" w:right="108" w:firstLine="422"/>
              <w:jc w:val="both"/>
            </w:pPr>
            <w:r>
              <w:rPr>
                <w:spacing w:val="4"/>
              </w:rPr>
              <w:t>按照投标人的商务和技术得分由高到低排序，选择前</w:t>
            </w:r>
            <w:r>
              <w:rPr>
                <w:spacing w:val="3"/>
              </w:rPr>
              <w:t>对排名在</w:t>
            </w:r>
            <w:r>
              <w:rPr>
                <w:rFonts w:ascii="Calibri" w:hAnsi="Calibri" w:eastAsia="Calibri" w:cs="Calibri"/>
                <w:spacing w:val="3"/>
              </w:rPr>
              <w:t>n</w:t>
            </w:r>
            <w:r>
              <w:rPr>
                <w:spacing w:val="3"/>
              </w:rPr>
              <w:t>以内的投标人的报价文件进行评审，</w:t>
            </w:r>
            <w:r>
              <w:rPr>
                <w:rFonts w:ascii="Calibri" w:hAnsi="Calibri" w:eastAsia="Calibri" w:cs="Calibri"/>
                <w:spacing w:val="3"/>
              </w:rPr>
              <w:t>n</w:t>
            </w:r>
            <w:r>
              <w:rPr>
                <w:spacing w:val="3"/>
              </w:rPr>
              <w:t>值为参与</w:t>
            </w:r>
            <w:r>
              <w:rPr>
                <w:spacing w:val="13"/>
              </w:rPr>
              <w:t>商务和技术评分投标人数量的</w:t>
            </w:r>
            <w:r>
              <w:rPr>
                <w:rFonts w:ascii="Calibri" w:hAnsi="Calibri" w:eastAsia="Calibri" w:cs="Calibri"/>
                <w:spacing w:val="13"/>
              </w:rPr>
              <w:t>30%</w:t>
            </w:r>
            <w:r>
              <w:rPr>
                <w:spacing w:val="13"/>
              </w:rPr>
              <w:t>（数值向下取整）确</w:t>
            </w:r>
            <w:r>
              <w:rPr>
                <w:spacing w:val="-1"/>
              </w:rPr>
              <w:t>定，</w:t>
            </w:r>
            <w:r>
              <w:rPr>
                <w:rFonts w:ascii="Calibri" w:hAnsi="Calibri" w:eastAsia="Calibri" w:cs="Calibri"/>
                <w:spacing w:val="-1"/>
              </w:rPr>
              <w:t>n</w:t>
            </w:r>
            <w:r>
              <w:rPr>
                <w:spacing w:val="-1"/>
              </w:rPr>
              <w:t>值不得少于</w:t>
            </w:r>
            <w:r>
              <w:rPr>
                <w:rFonts w:ascii="Calibri" w:hAnsi="Calibri" w:eastAsia="Calibri" w:cs="Calibri"/>
                <w:spacing w:val="-1"/>
              </w:rPr>
              <w:t>3</w:t>
            </w:r>
            <w:r>
              <w:rPr>
                <w:spacing w:val="-1"/>
              </w:rPr>
              <w:t>，不得大于</w:t>
            </w:r>
            <w:r>
              <w:rPr>
                <w:rFonts w:ascii="Calibri" w:hAnsi="Calibri" w:eastAsia="Calibri" w:cs="Calibri"/>
                <w:spacing w:val="-1"/>
              </w:rPr>
              <w:t>10</w:t>
            </w:r>
            <w:r>
              <w:rPr>
                <w:spacing w:val="-1"/>
              </w:rPr>
              <w:t>名</w:t>
            </w:r>
            <w:r>
              <w:rPr>
                <w:spacing w:val="-1"/>
                <w:position w:val="6"/>
                <w:sz w:val="11"/>
                <w:szCs w:val="11"/>
              </w:rPr>
              <w:t>②</w:t>
            </w:r>
            <w:r>
              <w:rPr>
                <w:spacing w:val="-1"/>
              </w:rPr>
              <w:t>通过详细评审</w:t>
            </w:r>
          </w:p>
        </w:tc>
      </w:tr>
    </w:tbl>
    <w:p w14:paraId="0BE8EAEF">
      <w:pPr>
        <w:spacing w:before="2"/>
      </w:pPr>
    </w:p>
    <w:p w14:paraId="00159947">
      <w:pPr>
        <w:spacing w:before="2"/>
      </w:pPr>
    </w:p>
    <w:tbl>
      <w:tblPr>
        <w:tblStyle w:val="7"/>
        <w:tblW w:w="853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740"/>
        <w:gridCol w:w="1134"/>
        <w:gridCol w:w="2269"/>
        <w:gridCol w:w="1135"/>
        <w:gridCol w:w="1202"/>
      </w:tblGrid>
      <w:tr w14:paraId="3A6B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53" w:type="dxa"/>
            <w:vMerge w:val="restart"/>
            <w:tcBorders>
              <w:bottom w:val="nil"/>
            </w:tcBorders>
            <w:vAlign w:val="top"/>
          </w:tcPr>
          <w:p w14:paraId="18397A97">
            <w:pPr>
              <w:spacing w:line="433" w:lineRule="auto"/>
              <w:rPr>
                <w:rFonts w:ascii="Arial"/>
                <w:sz w:val="21"/>
              </w:rPr>
            </w:pPr>
          </w:p>
          <w:p w14:paraId="2A53F1B5">
            <w:pPr>
              <w:pStyle w:val="6"/>
              <w:spacing w:before="69" w:line="221" w:lineRule="auto"/>
              <w:ind w:left="216"/>
            </w:pPr>
            <w:r>
              <w:rPr>
                <w:spacing w:val="-2"/>
              </w:rPr>
              <w:t>条款号</w:t>
            </w:r>
          </w:p>
        </w:tc>
        <w:tc>
          <w:tcPr>
            <w:tcW w:w="6278" w:type="dxa"/>
            <w:gridSpan w:val="4"/>
            <w:vAlign w:val="top"/>
          </w:tcPr>
          <w:p w14:paraId="5A8081C5">
            <w:pPr>
              <w:pStyle w:val="6"/>
              <w:spacing w:before="129" w:line="221" w:lineRule="auto"/>
              <w:ind w:left="2197"/>
            </w:pPr>
            <w:r>
              <w:rPr>
                <w:spacing w:val="-1"/>
              </w:rPr>
              <w:t>评分因素与权重分值</w:t>
            </w:r>
          </w:p>
        </w:tc>
        <w:tc>
          <w:tcPr>
            <w:tcW w:w="1202" w:type="dxa"/>
            <w:vMerge w:val="restart"/>
            <w:tcBorders>
              <w:bottom w:val="nil"/>
            </w:tcBorders>
            <w:vAlign w:val="top"/>
          </w:tcPr>
          <w:p w14:paraId="6C65278C">
            <w:pPr>
              <w:spacing w:line="434" w:lineRule="auto"/>
              <w:rPr>
                <w:rFonts w:ascii="Arial"/>
                <w:sz w:val="21"/>
              </w:rPr>
            </w:pPr>
          </w:p>
          <w:p w14:paraId="58BED21D">
            <w:pPr>
              <w:pStyle w:val="6"/>
              <w:spacing w:before="69" w:line="221" w:lineRule="auto"/>
              <w:ind w:left="187"/>
            </w:pPr>
            <w:r>
              <w:rPr>
                <w:spacing w:val="-1"/>
              </w:rPr>
              <w:t>评分标准</w:t>
            </w:r>
          </w:p>
        </w:tc>
      </w:tr>
      <w:tr w14:paraId="43A2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53" w:type="dxa"/>
            <w:vMerge w:val="continue"/>
            <w:tcBorders>
              <w:top w:val="nil"/>
            </w:tcBorders>
            <w:vAlign w:val="top"/>
          </w:tcPr>
          <w:p w14:paraId="17A922DA">
            <w:pPr>
              <w:rPr>
                <w:rFonts w:ascii="Arial"/>
                <w:sz w:val="21"/>
              </w:rPr>
            </w:pPr>
          </w:p>
        </w:tc>
        <w:tc>
          <w:tcPr>
            <w:tcW w:w="1740" w:type="dxa"/>
            <w:vAlign w:val="top"/>
          </w:tcPr>
          <w:p w14:paraId="21E60954">
            <w:pPr>
              <w:pStyle w:val="6"/>
              <w:spacing w:before="264" w:line="221" w:lineRule="auto"/>
              <w:ind w:left="451"/>
            </w:pPr>
            <w:r>
              <w:rPr>
                <w:spacing w:val="-1"/>
              </w:rPr>
              <w:t>评分因素</w:t>
            </w:r>
          </w:p>
        </w:tc>
        <w:tc>
          <w:tcPr>
            <w:tcW w:w="1134" w:type="dxa"/>
            <w:vAlign w:val="top"/>
          </w:tcPr>
          <w:p w14:paraId="578C1C85">
            <w:pPr>
              <w:pStyle w:val="6"/>
              <w:spacing w:before="127" w:line="231" w:lineRule="auto"/>
              <w:ind w:left="149" w:right="144"/>
            </w:pPr>
            <w:r>
              <w:rPr>
                <w:spacing w:val="-2"/>
              </w:rPr>
              <w:t>评分因素权重分值</w:t>
            </w:r>
          </w:p>
        </w:tc>
        <w:tc>
          <w:tcPr>
            <w:tcW w:w="2269" w:type="dxa"/>
            <w:vAlign w:val="top"/>
          </w:tcPr>
          <w:p w14:paraId="7F02A3C8">
            <w:pPr>
              <w:pStyle w:val="6"/>
              <w:spacing w:before="264" w:line="221" w:lineRule="auto"/>
              <w:ind w:left="303"/>
            </w:pPr>
            <w:r>
              <w:rPr>
                <w:spacing w:val="-1"/>
              </w:rPr>
              <w:t>各评分因素细分项</w:t>
            </w:r>
          </w:p>
        </w:tc>
        <w:tc>
          <w:tcPr>
            <w:tcW w:w="1135" w:type="dxa"/>
            <w:vAlign w:val="top"/>
          </w:tcPr>
          <w:p w14:paraId="3AFA3C74">
            <w:pPr>
              <w:pStyle w:val="6"/>
              <w:spacing w:before="264" w:line="221" w:lineRule="auto"/>
              <w:ind w:left="367"/>
            </w:pPr>
            <w:r>
              <w:rPr>
                <w:spacing w:val="-3"/>
              </w:rPr>
              <w:t>分值</w:t>
            </w:r>
          </w:p>
        </w:tc>
        <w:tc>
          <w:tcPr>
            <w:tcW w:w="1202" w:type="dxa"/>
            <w:vMerge w:val="continue"/>
            <w:tcBorders>
              <w:top w:val="nil"/>
            </w:tcBorders>
            <w:vAlign w:val="top"/>
          </w:tcPr>
          <w:p w14:paraId="73252B49">
            <w:pPr>
              <w:rPr>
                <w:rFonts w:ascii="Arial"/>
                <w:sz w:val="21"/>
              </w:rPr>
            </w:pPr>
          </w:p>
        </w:tc>
      </w:tr>
      <w:tr w14:paraId="1C729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5" w:hRule="atLeast"/>
        </w:trPr>
        <w:tc>
          <w:tcPr>
            <w:tcW w:w="1053" w:type="dxa"/>
            <w:vMerge w:val="restart"/>
            <w:tcBorders>
              <w:bottom w:val="nil"/>
            </w:tcBorders>
            <w:vAlign w:val="top"/>
          </w:tcPr>
          <w:p w14:paraId="105817AF">
            <w:pPr>
              <w:spacing w:line="255" w:lineRule="auto"/>
              <w:rPr>
                <w:rFonts w:ascii="Arial"/>
                <w:sz w:val="21"/>
              </w:rPr>
            </w:pPr>
          </w:p>
          <w:p w14:paraId="088A9EEA">
            <w:pPr>
              <w:spacing w:line="255" w:lineRule="auto"/>
              <w:rPr>
                <w:rFonts w:ascii="Arial"/>
                <w:sz w:val="21"/>
              </w:rPr>
            </w:pPr>
          </w:p>
          <w:p w14:paraId="60D53FE2">
            <w:pPr>
              <w:spacing w:line="255" w:lineRule="auto"/>
              <w:rPr>
                <w:rFonts w:ascii="Arial"/>
                <w:sz w:val="21"/>
              </w:rPr>
            </w:pPr>
          </w:p>
          <w:p w14:paraId="703981B4">
            <w:pPr>
              <w:spacing w:line="255" w:lineRule="auto"/>
              <w:rPr>
                <w:rFonts w:ascii="Arial"/>
                <w:sz w:val="21"/>
              </w:rPr>
            </w:pPr>
          </w:p>
          <w:p w14:paraId="74BEA1D2">
            <w:pPr>
              <w:spacing w:line="256" w:lineRule="auto"/>
              <w:rPr>
                <w:rFonts w:ascii="Arial"/>
                <w:sz w:val="21"/>
              </w:rPr>
            </w:pPr>
          </w:p>
          <w:p w14:paraId="2E416B24">
            <w:pPr>
              <w:spacing w:line="256" w:lineRule="auto"/>
              <w:rPr>
                <w:rFonts w:ascii="Arial"/>
                <w:sz w:val="21"/>
              </w:rPr>
            </w:pPr>
          </w:p>
          <w:p w14:paraId="6E6E6B00">
            <w:pPr>
              <w:spacing w:line="256" w:lineRule="auto"/>
              <w:rPr>
                <w:rFonts w:ascii="Arial"/>
                <w:sz w:val="21"/>
              </w:rPr>
            </w:pPr>
          </w:p>
          <w:p w14:paraId="354A9B3B">
            <w:pPr>
              <w:spacing w:line="256" w:lineRule="auto"/>
              <w:rPr>
                <w:rFonts w:ascii="Arial"/>
                <w:sz w:val="21"/>
              </w:rPr>
            </w:pPr>
          </w:p>
          <w:p w14:paraId="0BC39876">
            <w:pPr>
              <w:spacing w:line="256" w:lineRule="auto"/>
              <w:rPr>
                <w:rFonts w:ascii="Arial"/>
                <w:sz w:val="21"/>
              </w:rPr>
            </w:pPr>
          </w:p>
          <w:p w14:paraId="2C1CED7B">
            <w:pPr>
              <w:spacing w:line="256" w:lineRule="auto"/>
              <w:rPr>
                <w:rFonts w:ascii="Arial"/>
                <w:sz w:val="21"/>
              </w:rPr>
            </w:pPr>
          </w:p>
          <w:p w14:paraId="359B57A7">
            <w:pPr>
              <w:spacing w:line="256" w:lineRule="auto"/>
              <w:rPr>
                <w:rFonts w:ascii="Arial"/>
                <w:sz w:val="21"/>
              </w:rPr>
            </w:pPr>
          </w:p>
          <w:p w14:paraId="5AEACEBE">
            <w:pPr>
              <w:spacing w:line="256" w:lineRule="auto"/>
              <w:rPr>
                <w:rFonts w:ascii="Arial"/>
                <w:sz w:val="21"/>
              </w:rPr>
            </w:pPr>
          </w:p>
          <w:p w14:paraId="621F5539">
            <w:pPr>
              <w:spacing w:line="256" w:lineRule="auto"/>
              <w:rPr>
                <w:rFonts w:ascii="Arial"/>
                <w:sz w:val="21"/>
              </w:rPr>
            </w:pPr>
          </w:p>
          <w:p w14:paraId="7AD02B4A">
            <w:pPr>
              <w:spacing w:line="256" w:lineRule="auto"/>
              <w:rPr>
                <w:rFonts w:ascii="Arial"/>
                <w:sz w:val="21"/>
              </w:rPr>
            </w:pPr>
          </w:p>
          <w:p w14:paraId="48082514">
            <w:pPr>
              <w:pStyle w:val="6"/>
              <w:spacing w:before="69"/>
              <w:ind w:left="272" w:right="260" w:hanging="3"/>
            </w:pPr>
            <w:r>
              <w:rPr>
                <w:spacing w:val="-2"/>
              </w:rPr>
              <w:t>2.2.2</w:t>
            </w:r>
            <w:r>
              <w:rPr>
                <w:spacing w:val="-5"/>
              </w:rPr>
              <w:t>（1）</w:t>
            </w:r>
          </w:p>
        </w:tc>
        <w:tc>
          <w:tcPr>
            <w:tcW w:w="1740" w:type="dxa"/>
            <w:vMerge w:val="restart"/>
            <w:tcBorders>
              <w:bottom w:val="nil"/>
            </w:tcBorders>
            <w:vAlign w:val="top"/>
          </w:tcPr>
          <w:p w14:paraId="288E075C">
            <w:pPr>
              <w:spacing w:line="245" w:lineRule="auto"/>
              <w:rPr>
                <w:rFonts w:ascii="Arial"/>
                <w:sz w:val="21"/>
              </w:rPr>
            </w:pPr>
          </w:p>
          <w:p w14:paraId="7606F16C">
            <w:pPr>
              <w:spacing w:line="245" w:lineRule="auto"/>
              <w:rPr>
                <w:rFonts w:ascii="Arial"/>
                <w:sz w:val="21"/>
              </w:rPr>
            </w:pPr>
          </w:p>
          <w:p w14:paraId="3E290467">
            <w:pPr>
              <w:spacing w:line="245" w:lineRule="auto"/>
              <w:rPr>
                <w:rFonts w:ascii="Arial"/>
                <w:sz w:val="21"/>
              </w:rPr>
            </w:pPr>
          </w:p>
          <w:p w14:paraId="1E807FE3">
            <w:pPr>
              <w:spacing w:line="245" w:lineRule="auto"/>
              <w:rPr>
                <w:rFonts w:ascii="Arial"/>
                <w:sz w:val="21"/>
              </w:rPr>
            </w:pPr>
          </w:p>
          <w:p w14:paraId="0865FEDF">
            <w:pPr>
              <w:spacing w:line="245" w:lineRule="auto"/>
              <w:rPr>
                <w:rFonts w:ascii="Arial"/>
                <w:sz w:val="21"/>
              </w:rPr>
            </w:pPr>
          </w:p>
          <w:p w14:paraId="1CB2225B">
            <w:pPr>
              <w:spacing w:line="245" w:lineRule="auto"/>
              <w:rPr>
                <w:rFonts w:ascii="Arial"/>
                <w:sz w:val="21"/>
              </w:rPr>
            </w:pPr>
          </w:p>
          <w:p w14:paraId="34A808DA">
            <w:pPr>
              <w:spacing w:line="245" w:lineRule="auto"/>
              <w:rPr>
                <w:rFonts w:ascii="Arial"/>
                <w:sz w:val="21"/>
              </w:rPr>
            </w:pPr>
          </w:p>
          <w:p w14:paraId="7CCB3AFB">
            <w:pPr>
              <w:spacing w:line="245" w:lineRule="auto"/>
              <w:rPr>
                <w:rFonts w:ascii="Arial"/>
                <w:sz w:val="21"/>
              </w:rPr>
            </w:pPr>
          </w:p>
          <w:p w14:paraId="5B7E2CC0">
            <w:pPr>
              <w:spacing w:line="245" w:lineRule="auto"/>
              <w:rPr>
                <w:rFonts w:ascii="Arial"/>
                <w:sz w:val="21"/>
              </w:rPr>
            </w:pPr>
          </w:p>
          <w:p w14:paraId="15182629">
            <w:pPr>
              <w:spacing w:line="245" w:lineRule="auto"/>
              <w:rPr>
                <w:rFonts w:ascii="Arial"/>
                <w:sz w:val="21"/>
              </w:rPr>
            </w:pPr>
          </w:p>
          <w:p w14:paraId="18AC1EFB">
            <w:pPr>
              <w:spacing w:line="245" w:lineRule="auto"/>
              <w:rPr>
                <w:rFonts w:ascii="Arial"/>
                <w:sz w:val="21"/>
              </w:rPr>
            </w:pPr>
          </w:p>
          <w:p w14:paraId="3F6D9D44">
            <w:pPr>
              <w:spacing w:line="246" w:lineRule="auto"/>
              <w:rPr>
                <w:rFonts w:ascii="Arial"/>
                <w:sz w:val="21"/>
              </w:rPr>
            </w:pPr>
          </w:p>
          <w:p w14:paraId="18D96AC6">
            <w:pPr>
              <w:spacing w:line="246" w:lineRule="auto"/>
              <w:rPr>
                <w:rFonts w:ascii="Arial"/>
                <w:sz w:val="21"/>
              </w:rPr>
            </w:pPr>
          </w:p>
          <w:p w14:paraId="31F9A490">
            <w:pPr>
              <w:spacing w:line="246" w:lineRule="auto"/>
              <w:rPr>
                <w:rFonts w:ascii="Arial"/>
                <w:sz w:val="21"/>
              </w:rPr>
            </w:pPr>
          </w:p>
          <w:p w14:paraId="04FF61EF">
            <w:pPr>
              <w:spacing w:line="246" w:lineRule="auto"/>
              <w:rPr>
                <w:rFonts w:ascii="Arial"/>
                <w:sz w:val="21"/>
              </w:rPr>
            </w:pPr>
          </w:p>
          <w:p w14:paraId="10928C96">
            <w:pPr>
              <w:pStyle w:val="6"/>
              <w:spacing w:before="68" w:line="222" w:lineRule="auto"/>
              <w:ind w:left="242"/>
            </w:pPr>
            <w:r>
              <w:rPr>
                <w:spacing w:val="-1"/>
              </w:rPr>
              <w:t>施工组织设计</w:t>
            </w:r>
          </w:p>
        </w:tc>
        <w:tc>
          <w:tcPr>
            <w:tcW w:w="1134" w:type="dxa"/>
            <w:vMerge w:val="restart"/>
            <w:tcBorders>
              <w:bottom w:val="nil"/>
            </w:tcBorders>
            <w:vAlign w:val="top"/>
          </w:tcPr>
          <w:p w14:paraId="0238BF75">
            <w:pPr>
              <w:spacing w:line="245" w:lineRule="auto"/>
              <w:rPr>
                <w:rFonts w:ascii="Arial"/>
                <w:sz w:val="21"/>
              </w:rPr>
            </w:pPr>
          </w:p>
          <w:p w14:paraId="26267A38">
            <w:pPr>
              <w:spacing w:line="245" w:lineRule="auto"/>
              <w:rPr>
                <w:rFonts w:ascii="Arial"/>
                <w:sz w:val="21"/>
              </w:rPr>
            </w:pPr>
          </w:p>
          <w:p w14:paraId="51A4D333">
            <w:pPr>
              <w:spacing w:line="245" w:lineRule="auto"/>
              <w:rPr>
                <w:rFonts w:ascii="Arial"/>
                <w:sz w:val="21"/>
              </w:rPr>
            </w:pPr>
          </w:p>
          <w:p w14:paraId="47AA6775">
            <w:pPr>
              <w:spacing w:line="245" w:lineRule="auto"/>
              <w:rPr>
                <w:rFonts w:ascii="Arial"/>
                <w:sz w:val="21"/>
              </w:rPr>
            </w:pPr>
          </w:p>
          <w:p w14:paraId="45BBAC65">
            <w:pPr>
              <w:spacing w:line="245" w:lineRule="auto"/>
              <w:rPr>
                <w:rFonts w:ascii="Arial"/>
                <w:sz w:val="21"/>
              </w:rPr>
            </w:pPr>
          </w:p>
          <w:p w14:paraId="6088CC6E">
            <w:pPr>
              <w:spacing w:line="245" w:lineRule="auto"/>
              <w:rPr>
                <w:rFonts w:ascii="Arial"/>
                <w:sz w:val="21"/>
              </w:rPr>
            </w:pPr>
          </w:p>
          <w:p w14:paraId="0B1DBC10">
            <w:pPr>
              <w:spacing w:line="245" w:lineRule="auto"/>
              <w:rPr>
                <w:rFonts w:ascii="Arial"/>
                <w:sz w:val="21"/>
              </w:rPr>
            </w:pPr>
          </w:p>
          <w:p w14:paraId="4FCEDC53">
            <w:pPr>
              <w:spacing w:line="245" w:lineRule="auto"/>
              <w:rPr>
                <w:rFonts w:ascii="Arial"/>
                <w:sz w:val="21"/>
              </w:rPr>
            </w:pPr>
          </w:p>
          <w:p w14:paraId="43675842">
            <w:pPr>
              <w:spacing w:line="245" w:lineRule="auto"/>
              <w:rPr>
                <w:rFonts w:ascii="Arial"/>
                <w:sz w:val="21"/>
              </w:rPr>
            </w:pPr>
          </w:p>
          <w:p w14:paraId="45F0A4CB">
            <w:pPr>
              <w:spacing w:line="245" w:lineRule="auto"/>
              <w:rPr>
                <w:rFonts w:ascii="Arial"/>
                <w:sz w:val="21"/>
              </w:rPr>
            </w:pPr>
          </w:p>
          <w:p w14:paraId="63D74800">
            <w:pPr>
              <w:spacing w:line="245" w:lineRule="auto"/>
              <w:rPr>
                <w:rFonts w:ascii="Arial"/>
                <w:sz w:val="21"/>
              </w:rPr>
            </w:pPr>
          </w:p>
          <w:p w14:paraId="63E2D44B">
            <w:pPr>
              <w:spacing w:line="246" w:lineRule="auto"/>
              <w:rPr>
                <w:rFonts w:ascii="Arial"/>
                <w:sz w:val="21"/>
              </w:rPr>
            </w:pPr>
          </w:p>
          <w:p w14:paraId="5905F437">
            <w:pPr>
              <w:spacing w:line="246" w:lineRule="auto"/>
              <w:rPr>
                <w:rFonts w:ascii="Arial"/>
                <w:sz w:val="21"/>
              </w:rPr>
            </w:pPr>
          </w:p>
          <w:p w14:paraId="42BF6ADD">
            <w:pPr>
              <w:spacing w:line="246" w:lineRule="auto"/>
              <w:rPr>
                <w:rFonts w:ascii="Arial"/>
                <w:sz w:val="21"/>
              </w:rPr>
            </w:pPr>
          </w:p>
          <w:p w14:paraId="7806B45E">
            <w:pPr>
              <w:spacing w:line="246" w:lineRule="auto"/>
              <w:rPr>
                <w:rFonts w:ascii="Arial"/>
                <w:sz w:val="21"/>
              </w:rPr>
            </w:pPr>
          </w:p>
          <w:p w14:paraId="140BEDE3">
            <w:pPr>
              <w:pStyle w:val="6"/>
              <w:spacing w:before="68" w:line="221" w:lineRule="auto"/>
              <w:ind w:left="176"/>
            </w:pPr>
            <w:r>
              <w:rPr>
                <w:spacing w:val="-1"/>
              </w:rPr>
              <w:t>40.00分</w:t>
            </w:r>
          </w:p>
        </w:tc>
        <w:tc>
          <w:tcPr>
            <w:tcW w:w="2269" w:type="dxa"/>
            <w:vAlign w:val="top"/>
          </w:tcPr>
          <w:p w14:paraId="3EE0DC21">
            <w:pPr>
              <w:spacing w:line="244" w:lineRule="auto"/>
              <w:rPr>
                <w:rFonts w:ascii="Arial"/>
                <w:sz w:val="21"/>
              </w:rPr>
            </w:pPr>
          </w:p>
          <w:p w14:paraId="377FA141">
            <w:pPr>
              <w:spacing w:line="244" w:lineRule="auto"/>
              <w:rPr>
                <w:rFonts w:ascii="Arial"/>
                <w:sz w:val="21"/>
              </w:rPr>
            </w:pPr>
          </w:p>
          <w:p w14:paraId="1755287A">
            <w:pPr>
              <w:spacing w:line="244" w:lineRule="auto"/>
              <w:rPr>
                <w:rFonts w:ascii="Arial"/>
                <w:sz w:val="21"/>
              </w:rPr>
            </w:pPr>
          </w:p>
          <w:p w14:paraId="76241CB9">
            <w:pPr>
              <w:spacing w:line="244" w:lineRule="auto"/>
              <w:rPr>
                <w:rFonts w:ascii="Arial"/>
                <w:sz w:val="21"/>
              </w:rPr>
            </w:pPr>
          </w:p>
          <w:p w14:paraId="3CB73BAA">
            <w:pPr>
              <w:spacing w:line="244" w:lineRule="auto"/>
              <w:rPr>
                <w:rFonts w:ascii="Arial"/>
                <w:sz w:val="21"/>
              </w:rPr>
            </w:pPr>
          </w:p>
          <w:p w14:paraId="75079228">
            <w:pPr>
              <w:spacing w:line="244" w:lineRule="auto"/>
              <w:rPr>
                <w:rFonts w:ascii="Arial"/>
                <w:sz w:val="21"/>
              </w:rPr>
            </w:pPr>
          </w:p>
          <w:p w14:paraId="1B72C5A4">
            <w:pPr>
              <w:spacing w:line="244" w:lineRule="auto"/>
              <w:rPr>
                <w:rFonts w:ascii="Arial"/>
                <w:sz w:val="21"/>
              </w:rPr>
            </w:pPr>
          </w:p>
          <w:p w14:paraId="5A6C39C8">
            <w:pPr>
              <w:spacing w:line="245" w:lineRule="auto"/>
              <w:rPr>
                <w:rFonts w:ascii="Arial"/>
                <w:sz w:val="21"/>
              </w:rPr>
            </w:pPr>
          </w:p>
          <w:p w14:paraId="1D71A4DF">
            <w:pPr>
              <w:pStyle w:val="6"/>
              <w:spacing w:before="68" w:line="231" w:lineRule="auto"/>
              <w:ind w:left="929" w:right="183" w:hanging="729"/>
            </w:pPr>
            <w:r>
              <w:rPr>
                <w:spacing w:val="-2"/>
              </w:rPr>
              <w:t>总体施工组织布置及规划</w:t>
            </w:r>
          </w:p>
        </w:tc>
        <w:tc>
          <w:tcPr>
            <w:tcW w:w="1135" w:type="dxa"/>
            <w:vAlign w:val="top"/>
          </w:tcPr>
          <w:p w14:paraId="31FE75AC">
            <w:pPr>
              <w:spacing w:line="261" w:lineRule="auto"/>
              <w:rPr>
                <w:rFonts w:ascii="Arial"/>
                <w:sz w:val="21"/>
              </w:rPr>
            </w:pPr>
          </w:p>
          <w:p w14:paraId="147D6482">
            <w:pPr>
              <w:spacing w:line="261" w:lineRule="auto"/>
              <w:rPr>
                <w:rFonts w:ascii="Arial"/>
                <w:sz w:val="21"/>
              </w:rPr>
            </w:pPr>
          </w:p>
          <w:p w14:paraId="50A1820E">
            <w:pPr>
              <w:spacing w:line="261" w:lineRule="auto"/>
              <w:rPr>
                <w:rFonts w:ascii="Arial"/>
                <w:sz w:val="21"/>
              </w:rPr>
            </w:pPr>
          </w:p>
          <w:p w14:paraId="7B6537AA">
            <w:pPr>
              <w:spacing w:line="261" w:lineRule="auto"/>
              <w:rPr>
                <w:rFonts w:ascii="Arial"/>
                <w:sz w:val="21"/>
              </w:rPr>
            </w:pPr>
          </w:p>
          <w:p w14:paraId="6AC61121">
            <w:pPr>
              <w:spacing w:line="261" w:lineRule="auto"/>
              <w:rPr>
                <w:rFonts w:ascii="Arial"/>
                <w:sz w:val="21"/>
              </w:rPr>
            </w:pPr>
          </w:p>
          <w:p w14:paraId="104E6A7E">
            <w:pPr>
              <w:spacing w:line="261" w:lineRule="auto"/>
              <w:rPr>
                <w:rFonts w:ascii="Arial"/>
                <w:sz w:val="21"/>
              </w:rPr>
            </w:pPr>
          </w:p>
          <w:p w14:paraId="123499AB">
            <w:pPr>
              <w:spacing w:line="262" w:lineRule="auto"/>
              <w:rPr>
                <w:rFonts w:ascii="Arial"/>
                <w:sz w:val="21"/>
              </w:rPr>
            </w:pPr>
          </w:p>
          <w:p w14:paraId="08A1C15A">
            <w:pPr>
              <w:spacing w:line="262" w:lineRule="auto"/>
              <w:rPr>
                <w:rFonts w:ascii="Arial"/>
                <w:sz w:val="21"/>
              </w:rPr>
            </w:pPr>
          </w:p>
          <w:p w14:paraId="5A33B32B">
            <w:pPr>
              <w:pStyle w:val="6"/>
              <w:spacing w:before="68" w:line="221" w:lineRule="auto"/>
              <w:ind w:left="289"/>
            </w:pPr>
            <w:r>
              <w:rPr>
                <w:spacing w:val="-3"/>
              </w:rPr>
              <w:t>5.0分</w:t>
            </w:r>
          </w:p>
        </w:tc>
        <w:tc>
          <w:tcPr>
            <w:tcW w:w="1202" w:type="dxa"/>
            <w:vAlign w:val="top"/>
          </w:tcPr>
          <w:p w14:paraId="18553C3E">
            <w:pPr>
              <w:pStyle w:val="6"/>
              <w:spacing w:before="128" w:line="237" w:lineRule="auto"/>
              <w:ind w:left="187" w:right="174"/>
              <w:jc w:val="both"/>
            </w:pPr>
            <w:r>
              <w:rPr>
                <w:spacing w:val="-2"/>
              </w:rPr>
              <w:t>针对本项目的总体施工组织布置及规划（含交通组织及调流）优</w:t>
            </w:r>
            <w:r>
              <w:rPr>
                <w:spacing w:val="-10"/>
              </w:rPr>
              <w:t>劣程度。</w:t>
            </w:r>
          </w:p>
          <w:p w14:paraId="532016BA">
            <w:pPr>
              <w:pStyle w:val="6"/>
              <w:spacing w:before="20" w:line="231" w:lineRule="auto"/>
              <w:ind w:left="190" w:right="174" w:firstLine="127"/>
            </w:pPr>
            <w:r>
              <w:rPr>
                <w:spacing w:val="-6"/>
              </w:rPr>
              <w:t>满分5</w:t>
            </w:r>
            <w:r>
              <w:rPr>
                <w:spacing w:val="-3"/>
              </w:rPr>
              <w:t>分，其它</w:t>
            </w:r>
          </w:p>
          <w:p w14:paraId="4FBC1259">
            <w:pPr>
              <w:pStyle w:val="6"/>
              <w:spacing w:before="17" w:line="236" w:lineRule="auto"/>
              <w:ind w:left="164" w:right="148" w:firstLine="129"/>
            </w:pPr>
            <w:r>
              <w:rPr>
                <w:spacing w:val="-3"/>
              </w:rPr>
              <w:t>酌情减</w:t>
            </w:r>
            <w:r>
              <w:rPr>
                <w:spacing w:val="4"/>
              </w:rPr>
              <w:t>分。（打</w:t>
            </w:r>
            <w:r>
              <w:rPr>
                <w:spacing w:val="-5"/>
              </w:rPr>
              <w:t>分范围3-</w:t>
            </w:r>
            <w:r>
              <w:rPr>
                <w:spacing w:val="8"/>
              </w:rPr>
              <w:t>5分，未</w:t>
            </w:r>
            <w:r>
              <w:rPr>
                <w:spacing w:val="4"/>
              </w:rPr>
              <w:t>提供不得</w:t>
            </w:r>
          </w:p>
          <w:p w14:paraId="01A9FB9C">
            <w:pPr>
              <w:pStyle w:val="6"/>
              <w:spacing w:before="23" w:line="221" w:lineRule="auto"/>
              <w:ind w:left="293"/>
            </w:pPr>
            <w:r>
              <w:rPr>
                <w:spacing w:val="-5"/>
              </w:rPr>
              <w:t>分。）</w:t>
            </w:r>
          </w:p>
        </w:tc>
      </w:tr>
      <w:tr w14:paraId="5FE4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8" w:hRule="atLeast"/>
        </w:trPr>
        <w:tc>
          <w:tcPr>
            <w:tcW w:w="1053" w:type="dxa"/>
            <w:vMerge w:val="continue"/>
            <w:tcBorders>
              <w:top w:val="nil"/>
            </w:tcBorders>
            <w:vAlign w:val="top"/>
          </w:tcPr>
          <w:p w14:paraId="1AAE0124">
            <w:pPr>
              <w:rPr>
                <w:rFonts w:ascii="Arial"/>
                <w:sz w:val="21"/>
              </w:rPr>
            </w:pPr>
          </w:p>
        </w:tc>
        <w:tc>
          <w:tcPr>
            <w:tcW w:w="1740" w:type="dxa"/>
            <w:vMerge w:val="continue"/>
            <w:tcBorders>
              <w:top w:val="nil"/>
            </w:tcBorders>
            <w:vAlign w:val="top"/>
          </w:tcPr>
          <w:p w14:paraId="4A823FDD">
            <w:pPr>
              <w:rPr>
                <w:rFonts w:ascii="Arial"/>
                <w:sz w:val="21"/>
              </w:rPr>
            </w:pPr>
          </w:p>
        </w:tc>
        <w:tc>
          <w:tcPr>
            <w:tcW w:w="1134" w:type="dxa"/>
            <w:vMerge w:val="continue"/>
            <w:tcBorders>
              <w:top w:val="nil"/>
            </w:tcBorders>
            <w:vAlign w:val="top"/>
          </w:tcPr>
          <w:p w14:paraId="761D7673">
            <w:pPr>
              <w:rPr>
                <w:rFonts w:ascii="Arial"/>
                <w:sz w:val="21"/>
              </w:rPr>
            </w:pPr>
          </w:p>
        </w:tc>
        <w:tc>
          <w:tcPr>
            <w:tcW w:w="2269" w:type="dxa"/>
            <w:vAlign w:val="top"/>
          </w:tcPr>
          <w:p w14:paraId="73D66D35">
            <w:pPr>
              <w:spacing w:line="285" w:lineRule="auto"/>
              <w:rPr>
                <w:rFonts w:ascii="Arial"/>
                <w:sz w:val="21"/>
              </w:rPr>
            </w:pPr>
          </w:p>
          <w:p w14:paraId="4A2E26E2">
            <w:pPr>
              <w:spacing w:line="286" w:lineRule="auto"/>
              <w:rPr>
                <w:rFonts w:ascii="Arial"/>
                <w:sz w:val="21"/>
              </w:rPr>
            </w:pPr>
          </w:p>
          <w:p w14:paraId="773C358B">
            <w:pPr>
              <w:spacing w:line="286" w:lineRule="auto"/>
              <w:rPr>
                <w:rFonts w:ascii="Arial"/>
                <w:sz w:val="21"/>
              </w:rPr>
            </w:pPr>
          </w:p>
          <w:p w14:paraId="517489E2">
            <w:pPr>
              <w:spacing w:line="286" w:lineRule="auto"/>
              <w:rPr>
                <w:rFonts w:ascii="Arial"/>
                <w:sz w:val="21"/>
              </w:rPr>
            </w:pPr>
          </w:p>
          <w:p w14:paraId="1EACFAA1">
            <w:pPr>
              <w:pStyle w:val="6"/>
              <w:spacing w:before="69" w:line="221" w:lineRule="auto"/>
              <w:ind w:left="196"/>
            </w:pPr>
            <w:r>
              <w:rPr>
                <w:spacing w:val="-1"/>
              </w:rPr>
              <w:t>主要工程项目的施工</w:t>
            </w:r>
          </w:p>
          <w:p w14:paraId="22CA851B">
            <w:pPr>
              <w:pStyle w:val="6"/>
              <w:spacing w:before="21" w:line="221" w:lineRule="auto"/>
              <w:ind w:left="196"/>
            </w:pPr>
            <w:r>
              <w:rPr>
                <w:spacing w:val="-1"/>
              </w:rPr>
              <w:t>方案、方法与技术措</w:t>
            </w:r>
          </w:p>
          <w:p w14:paraId="3AE48707">
            <w:pPr>
              <w:pStyle w:val="6"/>
              <w:spacing w:before="20" w:line="223" w:lineRule="auto"/>
              <w:ind w:left="1034"/>
            </w:pPr>
            <w:r>
              <w:t>施</w:t>
            </w:r>
          </w:p>
        </w:tc>
        <w:tc>
          <w:tcPr>
            <w:tcW w:w="1135" w:type="dxa"/>
            <w:vAlign w:val="top"/>
          </w:tcPr>
          <w:p w14:paraId="35B044FA">
            <w:pPr>
              <w:spacing w:line="283" w:lineRule="auto"/>
              <w:rPr>
                <w:rFonts w:ascii="Arial"/>
                <w:sz w:val="21"/>
              </w:rPr>
            </w:pPr>
          </w:p>
          <w:p w14:paraId="50B8C034">
            <w:pPr>
              <w:spacing w:line="283" w:lineRule="auto"/>
              <w:rPr>
                <w:rFonts w:ascii="Arial"/>
                <w:sz w:val="21"/>
              </w:rPr>
            </w:pPr>
          </w:p>
          <w:p w14:paraId="4506F72C">
            <w:pPr>
              <w:spacing w:line="283" w:lineRule="auto"/>
              <w:rPr>
                <w:rFonts w:ascii="Arial"/>
                <w:sz w:val="21"/>
              </w:rPr>
            </w:pPr>
          </w:p>
          <w:p w14:paraId="41AE342D">
            <w:pPr>
              <w:spacing w:line="283" w:lineRule="auto"/>
              <w:rPr>
                <w:rFonts w:ascii="Arial"/>
                <w:sz w:val="21"/>
              </w:rPr>
            </w:pPr>
          </w:p>
          <w:p w14:paraId="5C909CD3">
            <w:pPr>
              <w:spacing w:line="283" w:lineRule="auto"/>
              <w:rPr>
                <w:rFonts w:ascii="Arial"/>
                <w:sz w:val="21"/>
              </w:rPr>
            </w:pPr>
          </w:p>
          <w:p w14:paraId="39F0A492">
            <w:pPr>
              <w:pStyle w:val="6"/>
              <w:spacing w:before="68" w:line="221" w:lineRule="auto"/>
              <w:ind w:left="286"/>
            </w:pPr>
            <w:r>
              <w:rPr>
                <w:spacing w:val="-2"/>
              </w:rPr>
              <w:t>8.0分</w:t>
            </w:r>
          </w:p>
        </w:tc>
        <w:tc>
          <w:tcPr>
            <w:tcW w:w="1202" w:type="dxa"/>
            <w:vAlign w:val="top"/>
          </w:tcPr>
          <w:p w14:paraId="4815DFB6">
            <w:pPr>
              <w:pStyle w:val="6"/>
              <w:spacing w:before="131" w:line="220" w:lineRule="auto"/>
              <w:ind w:left="188"/>
            </w:pPr>
            <w:r>
              <w:rPr>
                <w:spacing w:val="-2"/>
              </w:rPr>
              <w:t>针对本项</w:t>
            </w:r>
          </w:p>
          <w:p w14:paraId="35A86E2A">
            <w:pPr>
              <w:pStyle w:val="6"/>
              <w:spacing w:before="15" w:line="238" w:lineRule="auto"/>
              <w:ind w:left="187" w:right="174" w:firstLine="144"/>
            </w:pPr>
            <w:r>
              <w:rPr>
                <w:spacing w:val="-15"/>
              </w:rPr>
              <w:t>目的重</w:t>
            </w:r>
            <w:r>
              <w:rPr>
                <w:spacing w:val="-2"/>
              </w:rPr>
              <w:t>点、关键和难点、技术复杂工程（含沥青路面</w:t>
            </w:r>
            <w:r>
              <w:rPr>
                <w:spacing w:val="-5"/>
              </w:rPr>
              <w:t>冷再生）</w:t>
            </w:r>
            <w:r>
              <w:rPr>
                <w:spacing w:val="-2"/>
              </w:rPr>
              <w:t>的施工方案、方法及措施优</w:t>
            </w:r>
          </w:p>
        </w:tc>
      </w:tr>
    </w:tbl>
    <w:p w14:paraId="7149D756">
      <w:pPr>
        <w:pStyle w:val="2"/>
        <w:spacing w:line="393" w:lineRule="auto"/>
      </w:pPr>
      <w: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203835</wp:posOffset>
                </wp:positionV>
                <wp:extent cx="182943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1829435" cy="9525"/>
                        </a:xfrm>
                        <a:custGeom>
                          <a:avLst/>
                          <a:gdLst/>
                          <a:ahLst/>
                          <a:cxnLst/>
                          <a:pathLst>
                            <a:path w="2881" h="15">
                              <a:moveTo>
                                <a:pt x="0" y="14"/>
                              </a:moveTo>
                              <a:lnTo>
                                <a:pt x="2880" y="14"/>
                              </a:lnTo>
                              <a:lnTo>
                                <a:pt x="288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pt;margin-top:16.05pt;height:0.75pt;width:144.05pt;z-index:251660288;mso-width-relative:page;mso-height-relative:page;" fillcolor="#000000" filled="t" stroked="f" coordsize="2881,15" o:gfxdata="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PDz4PWAAAACAEAAA8AAAAAAAAA&#10;AQAgAAAAIgAAAGRycy9kb3ducmV2LnhtbFBLAQIUABQAAAAIAIdO4kB4LxeSEwIAAHwEAAAOAAAA&#10;AAAAAAEAIAAAACUBAABkcnMvZTJvRG9jLnhtbFBLBQYAAAAABgAGAFkBAACqBQAAAAA=&#10;" path="m0,14l2880,14,2880,0,0,0,0,14xe">
                <v:fill on="t" focussize="0,0"/>
                <v:stroke on="f"/>
                <v:imagedata o:title=""/>
                <o:lock v:ext="edit" aspectratio="f"/>
              </v:shape>
            </w:pict>
          </mc:Fallback>
        </mc:AlternateContent>
      </w:r>
    </w:p>
    <w:p w14:paraId="7AA3C076">
      <w:pPr>
        <w:spacing w:before="59" w:line="219" w:lineRule="auto"/>
        <w:ind w:left="115"/>
        <w:rPr>
          <w:rFonts w:ascii="宋体" w:hAnsi="宋体" w:eastAsia="宋体" w:cs="宋体"/>
          <w:sz w:val="18"/>
          <w:szCs w:val="18"/>
        </w:rPr>
      </w:pPr>
      <w:r>
        <w:rPr>
          <w:rFonts w:ascii="宋体" w:hAnsi="宋体" w:eastAsia="宋体" w:cs="宋体"/>
          <w:spacing w:val="5"/>
          <w:position w:val="5"/>
          <w:sz w:val="9"/>
          <w:szCs w:val="9"/>
        </w:rPr>
        <w:t>①</w:t>
      </w:r>
      <w:r>
        <w:rPr>
          <w:rFonts w:ascii="宋体" w:hAnsi="宋体" w:eastAsia="宋体" w:cs="宋体"/>
          <w:spacing w:val="5"/>
          <w:sz w:val="18"/>
          <w:szCs w:val="18"/>
        </w:rPr>
        <w:t>如本项目招标由投标人按照招标人提供的工程量固化清单电子文件填写工程量清单，无须按照本章第</w:t>
      </w:r>
    </w:p>
    <w:p w14:paraId="39C956A0">
      <w:pPr>
        <w:spacing w:before="19" w:line="229" w:lineRule="auto"/>
        <w:ind w:left="149" w:right="113" w:hanging="28"/>
        <w:rPr>
          <w:rFonts w:ascii="宋体" w:hAnsi="宋体" w:eastAsia="宋体" w:cs="宋体"/>
          <w:sz w:val="18"/>
          <w:szCs w:val="18"/>
        </w:rPr>
      </w:pPr>
      <w:r>
        <w:rPr>
          <w:rFonts w:ascii="Calibri" w:hAnsi="Calibri" w:eastAsia="Calibri" w:cs="Calibri"/>
          <w:spacing w:val="-1"/>
          <w:sz w:val="18"/>
          <w:szCs w:val="18"/>
        </w:rPr>
        <w:t>3.4.2</w:t>
      </w:r>
      <w:r>
        <w:rPr>
          <w:rFonts w:ascii="宋体" w:hAnsi="宋体" w:eastAsia="宋体" w:cs="宋体"/>
          <w:spacing w:val="-1"/>
          <w:sz w:val="18"/>
          <w:szCs w:val="18"/>
        </w:rPr>
        <w:t>项和第</w:t>
      </w:r>
      <w:r>
        <w:rPr>
          <w:rFonts w:ascii="Calibri" w:hAnsi="Calibri" w:eastAsia="Calibri" w:cs="Calibri"/>
          <w:spacing w:val="-1"/>
          <w:sz w:val="18"/>
          <w:szCs w:val="18"/>
        </w:rPr>
        <w:t>3.4.3</w:t>
      </w:r>
      <w:r>
        <w:rPr>
          <w:rFonts w:ascii="宋体" w:hAnsi="宋体" w:eastAsia="宋体" w:cs="宋体"/>
          <w:spacing w:val="-1"/>
          <w:sz w:val="18"/>
          <w:szCs w:val="18"/>
        </w:rPr>
        <w:t>项的规定对投标报价进行修正，评标价＝投标函文字报价－暂估价－暂列金额（不含计</w:t>
      </w:r>
      <w:r>
        <w:rPr>
          <w:rFonts w:ascii="宋体" w:hAnsi="宋体" w:eastAsia="宋体" w:cs="宋体"/>
          <w:spacing w:val="-25"/>
          <w:sz w:val="18"/>
          <w:szCs w:val="18"/>
        </w:rPr>
        <w:t>日工总额）。</w:t>
      </w:r>
    </w:p>
    <w:p w14:paraId="733DD467">
      <w:pPr>
        <w:spacing w:before="18" w:line="230" w:lineRule="auto"/>
        <w:ind w:left="119" w:right="136" w:hanging="4"/>
        <w:rPr>
          <w:rFonts w:ascii="宋体" w:hAnsi="宋体" w:eastAsia="宋体" w:cs="宋体"/>
          <w:sz w:val="18"/>
          <w:szCs w:val="18"/>
        </w:rPr>
      </w:pPr>
      <w:r>
        <w:rPr>
          <w:rFonts w:ascii="宋体" w:hAnsi="宋体" w:eastAsia="宋体" w:cs="宋体"/>
          <w:spacing w:val="-1"/>
          <w:position w:val="5"/>
          <w:sz w:val="9"/>
          <w:szCs w:val="9"/>
        </w:rPr>
        <w:t>②</w:t>
      </w:r>
      <w:r>
        <w:rPr>
          <w:rFonts w:ascii="宋体" w:hAnsi="宋体" w:eastAsia="宋体" w:cs="宋体"/>
          <w:spacing w:val="-1"/>
          <w:sz w:val="18"/>
          <w:szCs w:val="18"/>
        </w:rPr>
        <w:t>该数量的设置应避免本办法演变为经评审</w:t>
      </w:r>
      <w:r>
        <w:rPr>
          <w:rFonts w:ascii="宋体" w:hAnsi="宋体" w:eastAsia="宋体" w:cs="宋体"/>
          <w:spacing w:val="-2"/>
          <w:sz w:val="18"/>
          <w:szCs w:val="18"/>
        </w:rPr>
        <w:t>的最低投标价法，该数量应不少于</w:t>
      </w:r>
      <w:r>
        <w:rPr>
          <w:rFonts w:ascii="Calibri" w:hAnsi="Calibri" w:eastAsia="Calibri" w:cs="Calibri"/>
          <w:spacing w:val="-2"/>
          <w:sz w:val="18"/>
          <w:szCs w:val="18"/>
        </w:rPr>
        <w:t>3</w:t>
      </w:r>
      <w:r>
        <w:rPr>
          <w:rFonts w:ascii="宋体" w:hAnsi="宋体" w:eastAsia="宋体" w:cs="宋体"/>
          <w:spacing w:val="-2"/>
          <w:sz w:val="18"/>
          <w:szCs w:val="18"/>
        </w:rPr>
        <w:t>名，最高不宜超过</w:t>
      </w:r>
      <w:r>
        <w:rPr>
          <w:rFonts w:ascii="Calibri" w:hAnsi="Calibri" w:eastAsia="Calibri" w:cs="Calibri"/>
          <w:spacing w:val="-2"/>
          <w:sz w:val="18"/>
          <w:szCs w:val="18"/>
        </w:rPr>
        <w:t>10</w:t>
      </w:r>
      <w:r>
        <w:rPr>
          <w:rFonts w:ascii="宋体" w:hAnsi="宋体" w:eastAsia="宋体" w:cs="宋体"/>
          <w:spacing w:val="-2"/>
          <w:sz w:val="18"/>
          <w:szCs w:val="18"/>
        </w:rPr>
        <w:t>名。此外，招标人可规定技术文件采用暗标形式编制。</w:t>
      </w:r>
    </w:p>
    <w:p w14:paraId="6DA9ED46">
      <w:pPr>
        <w:spacing w:line="230" w:lineRule="auto"/>
        <w:rPr>
          <w:rFonts w:ascii="宋体" w:hAnsi="宋体" w:eastAsia="宋体" w:cs="宋体"/>
          <w:sz w:val="18"/>
          <w:szCs w:val="18"/>
        </w:rPr>
        <w:sectPr>
          <w:footerReference r:id="rId9" w:type="default"/>
          <w:pgSz w:w="11912" w:h="16851"/>
          <w:pgMar w:top="400" w:right="1682" w:bottom="1025" w:left="1685" w:header="0" w:footer="861" w:gutter="0"/>
          <w:cols w:space="720" w:num="1"/>
        </w:sectPr>
      </w:pPr>
    </w:p>
    <w:p w14:paraId="28A8F6C1">
      <w:pPr>
        <w:spacing w:before="19"/>
      </w:pPr>
    </w:p>
    <w:p w14:paraId="405EB6BB">
      <w:pPr>
        <w:spacing w:before="19"/>
      </w:pPr>
    </w:p>
    <w:p w14:paraId="2EEFBB54">
      <w:pPr>
        <w:spacing w:before="18"/>
      </w:pPr>
    </w:p>
    <w:p w14:paraId="04343368">
      <w:pPr>
        <w:spacing w:before="18"/>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740"/>
        <w:gridCol w:w="1134"/>
        <w:gridCol w:w="2269"/>
        <w:gridCol w:w="1135"/>
        <w:gridCol w:w="1202"/>
      </w:tblGrid>
      <w:tr w14:paraId="51C54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4" w:hRule="atLeast"/>
        </w:trPr>
        <w:tc>
          <w:tcPr>
            <w:tcW w:w="1053" w:type="dxa"/>
            <w:vMerge w:val="restart"/>
            <w:tcBorders>
              <w:bottom w:val="nil"/>
            </w:tcBorders>
            <w:vAlign w:val="top"/>
          </w:tcPr>
          <w:p w14:paraId="6E8759AB">
            <w:pPr>
              <w:rPr>
                <w:rFonts w:ascii="Arial"/>
                <w:sz w:val="21"/>
              </w:rPr>
            </w:pPr>
          </w:p>
        </w:tc>
        <w:tc>
          <w:tcPr>
            <w:tcW w:w="1740" w:type="dxa"/>
            <w:vMerge w:val="restart"/>
            <w:tcBorders>
              <w:bottom w:val="nil"/>
            </w:tcBorders>
            <w:vAlign w:val="top"/>
          </w:tcPr>
          <w:p w14:paraId="63B62A54">
            <w:pPr>
              <w:rPr>
                <w:rFonts w:ascii="Arial"/>
                <w:sz w:val="21"/>
              </w:rPr>
            </w:pPr>
          </w:p>
        </w:tc>
        <w:tc>
          <w:tcPr>
            <w:tcW w:w="1134" w:type="dxa"/>
            <w:vMerge w:val="restart"/>
            <w:tcBorders>
              <w:bottom w:val="nil"/>
            </w:tcBorders>
            <w:vAlign w:val="top"/>
          </w:tcPr>
          <w:p w14:paraId="7E906B13">
            <w:pPr>
              <w:rPr>
                <w:rFonts w:ascii="Arial"/>
                <w:sz w:val="21"/>
              </w:rPr>
            </w:pPr>
          </w:p>
        </w:tc>
        <w:tc>
          <w:tcPr>
            <w:tcW w:w="2269" w:type="dxa"/>
            <w:vAlign w:val="top"/>
          </w:tcPr>
          <w:p w14:paraId="0C13C079">
            <w:pPr>
              <w:rPr>
                <w:rFonts w:ascii="Arial"/>
                <w:sz w:val="21"/>
              </w:rPr>
            </w:pPr>
          </w:p>
        </w:tc>
        <w:tc>
          <w:tcPr>
            <w:tcW w:w="1135" w:type="dxa"/>
            <w:vAlign w:val="top"/>
          </w:tcPr>
          <w:p w14:paraId="57FF4366">
            <w:pPr>
              <w:rPr>
                <w:rFonts w:ascii="Arial"/>
                <w:sz w:val="21"/>
              </w:rPr>
            </w:pPr>
          </w:p>
        </w:tc>
        <w:tc>
          <w:tcPr>
            <w:tcW w:w="1202" w:type="dxa"/>
            <w:vAlign w:val="top"/>
          </w:tcPr>
          <w:p w14:paraId="178503CA">
            <w:pPr>
              <w:pStyle w:val="6"/>
              <w:spacing w:before="129" w:line="230" w:lineRule="auto"/>
              <w:ind w:left="316" w:right="205" w:hanging="123"/>
            </w:pPr>
            <w:r>
              <w:rPr>
                <w:spacing w:val="-11"/>
              </w:rPr>
              <w:t>劣程度。</w:t>
            </w:r>
            <w:r>
              <w:rPr>
                <w:spacing w:val="-2"/>
              </w:rPr>
              <w:t>满分8</w:t>
            </w:r>
          </w:p>
          <w:p w14:paraId="20ACE9ED">
            <w:pPr>
              <w:pStyle w:val="6"/>
              <w:spacing w:before="23" w:line="221" w:lineRule="auto"/>
              <w:ind w:left="190"/>
            </w:pPr>
            <w:r>
              <w:rPr>
                <w:spacing w:val="-2"/>
              </w:rPr>
              <w:t>分，其它</w:t>
            </w:r>
          </w:p>
          <w:p w14:paraId="4921B4DC">
            <w:pPr>
              <w:pStyle w:val="6"/>
              <w:spacing w:before="19" w:line="221" w:lineRule="auto"/>
              <w:ind w:left="293"/>
            </w:pPr>
            <w:r>
              <w:rPr>
                <w:spacing w:val="-2"/>
              </w:rPr>
              <w:t>酌情减</w:t>
            </w:r>
          </w:p>
          <w:p w14:paraId="65A2BC86">
            <w:pPr>
              <w:pStyle w:val="6"/>
              <w:spacing w:before="22" w:line="221" w:lineRule="auto"/>
              <w:ind w:left="190"/>
            </w:pPr>
            <w:r>
              <w:rPr>
                <w:spacing w:val="-3"/>
              </w:rPr>
              <w:t>分。（打</w:t>
            </w:r>
          </w:p>
          <w:p w14:paraId="7C6AE3FB">
            <w:pPr>
              <w:pStyle w:val="6"/>
              <w:spacing w:before="19" w:line="221" w:lineRule="auto"/>
              <w:ind w:left="293"/>
            </w:pPr>
            <w:r>
              <w:rPr>
                <w:spacing w:val="-2"/>
              </w:rPr>
              <w:t>分范围</w:t>
            </w:r>
          </w:p>
          <w:p w14:paraId="3498122A">
            <w:pPr>
              <w:pStyle w:val="6"/>
              <w:spacing w:before="57" w:line="182" w:lineRule="auto"/>
              <w:ind w:left="343"/>
            </w:pPr>
            <w:r>
              <w:rPr>
                <w:spacing w:val="-1"/>
              </w:rPr>
              <w:t>4.8-8</w:t>
            </w:r>
          </w:p>
          <w:p w14:paraId="096C906D">
            <w:pPr>
              <w:pStyle w:val="6"/>
              <w:spacing w:before="30" w:line="233" w:lineRule="auto"/>
              <w:ind w:left="290" w:right="174" w:hanging="100"/>
            </w:pPr>
            <w:r>
              <w:rPr>
                <w:spacing w:val="-3"/>
              </w:rPr>
              <w:t>分，未提</w:t>
            </w:r>
            <w:r>
              <w:rPr>
                <w:spacing w:val="-2"/>
              </w:rPr>
              <w:t>供不得</w:t>
            </w:r>
            <w:r>
              <w:rPr>
                <w:spacing w:val="-5"/>
              </w:rPr>
              <w:t>分。）</w:t>
            </w:r>
          </w:p>
        </w:tc>
      </w:tr>
      <w:tr w14:paraId="74A8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75" w:hRule="atLeast"/>
        </w:trPr>
        <w:tc>
          <w:tcPr>
            <w:tcW w:w="1053" w:type="dxa"/>
            <w:vMerge w:val="continue"/>
            <w:tcBorders>
              <w:top w:val="nil"/>
              <w:bottom w:val="nil"/>
            </w:tcBorders>
            <w:vAlign w:val="top"/>
          </w:tcPr>
          <w:p w14:paraId="6711D2F4">
            <w:pPr>
              <w:rPr>
                <w:rFonts w:ascii="Arial"/>
                <w:sz w:val="21"/>
              </w:rPr>
            </w:pPr>
          </w:p>
        </w:tc>
        <w:tc>
          <w:tcPr>
            <w:tcW w:w="1740" w:type="dxa"/>
            <w:vMerge w:val="continue"/>
            <w:tcBorders>
              <w:top w:val="nil"/>
              <w:bottom w:val="nil"/>
            </w:tcBorders>
            <w:vAlign w:val="top"/>
          </w:tcPr>
          <w:p w14:paraId="6B0FB9C9">
            <w:pPr>
              <w:rPr>
                <w:rFonts w:ascii="Arial"/>
                <w:sz w:val="21"/>
              </w:rPr>
            </w:pPr>
          </w:p>
        </w:tc>
        <w:tc>
          <w:tcPr>
            <w:tcW w:w="1134" w:type="dxa"/>
            <w:vMerge w:val="continue"/>
            <w:tcBorders>
              <w:top w:val="nil"/>
              <w:bottom w:val="nil"/>
            </w:tcBorders>
            <w:vAlign w:val="top"/>
          </w:tcPr>
          <w:p w14:paraId="4CD944E1">
            <w:pPr>
              <w:rPr>
                <w:rFonts w:ascii="Arial"/>
                <w:sz w:val="21"/>
              </w:rPr>
            </w:pPr>
          </w:p>
        </w:tc>
        <w:tc>
          <w:tcPr>
            <w:tcW w:w="2269" w:type="dxa"/>
            <w:vAlign w:val="top"/>
          </w:tcPr>
          <w:p w14:paraId="3C8B3B84">
            <w:pPr>
              <w:spacing w:line="262" w:lineRule="auto"/>
              <w:rPr>
                <w:rFonts w:ascii="Arial"/>
                <w:sz w:val="21"/>
              </w:rPr>
            </w:pPr>
          </w:p>
          <w:p w14:paraId="6BFFB2CB">
            <w:pPr>
              <w:spacing w:line="262" w:lineRule="auto"/>
              <w:rPr>
                <w:rFonts w:ascii="Arial"/>
                <w:sz w:val="21"/>
              </w:rPr>
            </w:pPr>
          </w:p>
          <w:p w14:paraId="4D687D4E">
            <w:pPr>
              <w:spacing w:line="262" w:lineRule="auto"/>
              <w:rPr>
                <w:rFonts w:ascii="Arial"/>
                <w:sz w:val="21"/>
              </w:rPr>
            </w:pPr>
          </w:p>
          <w:p w14:paraId="56A64A36">
            <w:pPr>
              <w:spacing w:line="262" w:lineRule="auto"/>
              <w:rPr>
                <w:rFonts w:ascii="Arial"/>
                <w:sz w:val="21"/>
              </w:rPr>
            </w:pPr>
          </w:p>
          <w:p w14:paraId="5FF4BBB7">
            <w:pPr>
              <w:spacing w:line="262" w:lineRule="auto"/>
              <w:rPr>
                <w:rFonts w:ascii="Arial"/>
                <w:sz w:val="21"/>
              </w:rPr>
            </w:pPr>
          </w:p>
          <w:p w14:paraId="69224694">
            <w:pPr>
              <w:spacing w:line="262" w:lineRule="auto"/>
              <w:rPr>
                <w:rFonts w:ascii="Arial"/>
                <w:sz w:val="21"/>
              </w:rPr>
            </w:pPr>
          </w:p>
          <w:p w14:paraId="6633736B">
            <w:pPr>
              <w:spacing w:line="262" w:lineRule="auto"/>
              <w:rPr>
                <w:rFonts w:ascii="Arial"/>
                <w:sz w:val="21"/>
              </w:rPr>
            </w:pPr>
          </w:p>
          <w:p w14:paraId="54F88274">
            <w:pPr>
              <w:spacing w:line="263" w:lineRule="auto"/>
              <w:rPr>
                <w:rFonts w:ascii="Arial"/>
                <w:sz w:val="21"/>
              </w:rPr>
            </w:pPr>
          </w:p>
          <w:p w14:paraId="7231E2AC">
            <w:pPr>
              <w:spacing w:line="263" w:lineRule="auto"/>
              <w:rPr>
                <w:rFonts w:ascii="Arial"/>
                <w:sz w:val="21"/>
              </w:rPr>
            </w:pPr>
          </w:p>
          <w:p w14:paraId="711929AA">
            <w:pPr>
              <w:pStyle w:val="6"/>
              <w:spacing w:before="69" w:line="231" w:lineRule="auto"/>
              <w:ind w:left="929" w:right="183" w:hanging="732"/>
            </w:pPr>
            <w:r>
              <w:rPr>
                <w:spacing w:val="-1"/>
              </w:rPr>
              <w:t>工期保证体系及保证</w:t>
            </w:r>
            <w:r>
              <w:rPr>
                <w:spacing w:val="-2"/>
              </w:rPr>
              <w:t>措施</w:t>
            </w:r>
          </w:p>
        </w:tc>
        <w:tc>
          <w:tcPr>
            <w:tcW w:w="1135" w:type="dxa"/>
            <w:vAlign w:val="top"/>
          </w:tcPr>
          <w:p w14:paraId="36501A18">
            <w:pPr>
              <w:spacing w:line="249" w:lineRule="auto"/>
              <w:rPr>
                <w:rFonts w:ascii="Arial"/>
                <w:sz w:val="21"/>
              </w:rPr>
            </w:pPr>
          </w:p>
          <w:p w14:paraId="40CB6390">
            <w:pPr>
              <w:spacing w:line="249" w:lineRule="auto"/>
              <w:rPr>
                <w:rFonts w:ascii="Arial"/>
                <w:sz w:val="21"/>
              </w:rPr>
            </w:pPr>
          </w:p>
          <w:p w14:paraId="0CBCCF92">
            <w:pPr>
              <w:spacing w:line="249" w:lineRule="auto"/>
              <w:rPr>
                <w:rFonts w:ascii="Arial"/>
                <w:sz w:val="21"/>
              </w:rPr>
            </w:pPr>
          </w:p>
          <w:p w14:paraId="549BE184">
            <w:pPr>
              <w:spacing w:line="250" w:lineRule="auto"/>
              <w:rPr>
                <w:rFonts w:ascii="Arial"/>
                <w:sz w:val="21"/>
              </w:rPr>
            </w:pPr>
          </w:p>
          <w:p w14:paraId="38230ED4">
            <w:pPr>
              <w:spacing w:line="250" w:lineRule="auto"/>
              <w:rPr>
                <w:rFonts w:ascii="Arial"/>
                <w:sz w:val="21"/>
              </w:rPr>
            </w:pPr>
          </w:p>
          <w:p w14:paraId="4A2324C8">
            <w:pPr>
              <w:spacing w:line="250" w:lineRule="auto"/>
              <w:rPr>
                <w:rFonts w:ascii="Arial"/>
                <w:sz w:val="21"/>
              </w:rPr>
            </w:pPr>
          </w:p>
          <w:p w14:paraId="54CDA314">
            <w:pPr>
              <w:spacing w:line="250" w:lineRule="auto"/>
              <w:rPr>
                <w:rFonts w:ascii="Arial"/>
                <w:sz w:val="21"/>
              </w:rPr>
            </w:pPr>
          </w:p>
          <w:p w14:paraId="7C21652D">
            <w:pPr>
              <w:spacing w:line="250" w:lineRule="auto"/>
              <w:rPr>
                <w:rFonts w:ascii="Arial"/>
                <w:sz w:val="21"/>
              </w:rPr>
            </w:pPr>
          </w:p>
          <w:p w14:paraId="0F4234E0">
            <w:pPr>
              <w:spacing w:line="250" w:lineRule="auto"/>
              <w:rPr>
                <w:rFonts w:ascii="Arial"/>
                <w:sz w:val="21"/>
              </w:rPr>
            </w:pPr>
          </w:p>
          <w:p w14:paraId="2AF914F8">
            <w:pPr>
              <w:spacing w:line="250" w:lineRule="auto"/>
              <w:rPr>
                <w:rFonts w:ascii="Arial"/>
                <w:sz w:val="21"/>
              </w:rPr>
            </w:pPr>
          </w:p>
          <w:p w14:paraId="12D7F97D">
            <w:pPr>
              <w:pStyle w:val="6"/>
              <w:spacing w:before="68" w:line="221" w:lineRule="auto"/>
              <w:ind w:left="289"/>
            </w:pPr>
            <w:r>
              <w:rPr>
                <w:spacing w:val="-3"/>
              </w:rPr>
              <w:t>5.0分</w:t>
            </w:r>
          </w:p>
        </w:tc>
        <w:tc>
          <w:tcPr>
            <w:tcW w:w="1202" w:type="dxa"/>
            <w:vAlign w:val="top"/>
          </w:tcPr>
          <w:p w14:paraId="7B94A6F7">
            <w:pPr>
              <w:pStyle w:val="6"/>
              <w:spacing w:before="127" w:line="238" w:lineRule="auto"/>
              <w:ind w:left="187" w:right="174"/>
              <w:jc w:val="both"/>
            </w:pPr>
            <w:r>
              <w:rPr>
                <w:spacing w:val="-2"/>
              </w:rPr>
              <w:t>针对本项目的工期保证体系及保证措施优劣程度（含预计每月计量周期完成的任务量和资金</w:t>
            </w:r>
            <w:r>
              <w:rPr>
                <w:spacing w:val="-10"/>
              </w:rPr>
              <w:t>金额）。</w:t>
            </w:r>
          </w:p>
          <w:p w14:paraId="62B8218E">
            <w:pPr>
              <w:pStyle w:val="6"/>
              <w:spacing w:before="20" w:line="231" w:lineRule="auto"/>
              <w:ind w:left="190" w:right="174" w:firstLine="127"/>
            </w:pPr>
            <w:r>
              <w:rPr>
                <w:spacing w:val="-6"/>
              </w:rPr>
              <w:t>满分5</w:t>
            </w:r>
            <w:r>
              <w:rPr>
                <w:spacing w:val="-3"/>
              </w:rPr>
              <w:t>分，其它</w:t>
            </w:r>
          </w:p>
          <w:p w14:paraId="5050F61F">
            <w:pPr>
              <w:pStyle w:val="6"/>
              <w:spacing w:before="20" w:line="233" w:lineRule="auto"/>
              <w:ind w:left="164" w:right="148" w:firstLine="129"/>
            </w:pPr>
            <w:r>
              <w:rPr>
                <w:spacing w:val="-3"/>
              </w:rPr>
              <w:t>酌情减</w:t>
            </w:r>
            <w:r>
              <w:rPr>
                <w:spacing w:val="4"/>
              </w:rPr>
              <w:t>分。（打</w:t>
            </w:r>
            <w:r>
              <w:rPr>
                <w:spacing w:val="-5"/>
              </w:rPr>
              <w:t>分范围3-</w:t>
            </w:r>
          </w:p>
          <w:p w14:paraId="74DDDA27">
            <w:pPr>
              <w:pStyle w:val="6"/>
              <w:spacing w:before="20" w:line="234" w:lineRule="auto"/>
              <w:ind w:left="189" w:right="174" w:firstLine="29"/>
              <w:jc w:val="both"/>
            </w:pPr>
            <w:r>
              <w:rPr>
                <w:spacing w:val="-6"/>
              </w:rPr>
              <w:t>5分，未</w:t>
            </w:r>
            <w:r>
              <w:rPr>
                <w:spacing w:val="-2"/>
              </w:rPr>
              <w:t>提供不得</w:t>
            </w:r>
            <w:r>
              <w:rPr>
                <w:spacing w:val="27"/>
              </w:rPr>
              <w:t>分。）</w:t>
            </w:r>
          </w:p>
        </w:tc>
      </w:tr>
      <w:tr w14:paraId="37AE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8" w:hRule="atLeast"/>
        </w:trPr>
        <w:tc>
          <w:tcPr>
            <w:tcW w:w="1053" w:type="dxa"/>
            <w:vMerge w:val="continue"/>
            <w:tcBorders>
              <w:top w:val="nil"/>
            </w:tcBorders>
            <w:vAlign w:val="top"/>
          </w:tcPr>
          <w:p w14:paraId="63D7139E">
            <w:pPr>
              <w:rPr>
                <w:rFonts w:ascii="Arial"/>
                <w:sz w:val="21"/>
              </w:rPr>
            </w:pPr>
          </w:p>
        </w:tc>
        <w:tc>
          <w:tcPr>
            <w:tcW w:w="1740" w:type="dxa"/>
            <w:vMerge w:val="continue"/>
            <w:tcBorders>
              <w:top w:val="nil"/>
            </w:tcBorders>
            <w:vAlign w:val="top"/>
          </w:tcPr>
          <w:p w14:paraId="2EEB4A5E">
            <w:pPr>
              <w:rPr>
                <w:rFonts w:ascii="Arial"/>
                <w:sz w:val="21"/>
              </w:rPr>
            </w:pPr>
          </w:p>
        </w:tc>
        <w:tc>
          <w:tcPr>
            <w:tcW w:w="1134" w:type="dxa"/>
            <w:vMerge w:val="continue"/>
            <w:tcBorders>
              <w:top w:val="nil"/>
            </w:tcBorders>
            <w:vAlign w:val="top"/>
          </w:tcPr>
          <w:p w14:paraId="2DECB2F7">
            <w:pPr>
              <w:rPr>
                <w:rFonts w:ascii="Arial"/>
                <w:sz w:val="21"/>
              </w:rPr>
            </w:pPr>
          </w:p>
        </w:tc>
        <w:tc>
          <w:tcPr>
            <w:tcW w:w="2269" w:type="dxa"/>
            <w:vAlign w:val="top"/>
          </w:tcPr>
          <w:p w14:paraId="69E00BAC">
            <w:pPr>
              <w:spacing w:line="249" w:lineRule="auto"/>
              <w:rPr>
                <w:rFonts w:ascii="Arial"/>
                <w:sz w:val="21"/>
              </w:rPr>
            </w:pPr>
          </w:p>
          <w:p w14:paraId="349E2469">
            <w:pPr>
              <w:spacing w:line="249" w:lineRule="auto"/>
              <w:rPr>
                <w:rFonts w:ascii="Arial"/>
                <w:sz w:val="21"/>
              </w:rPr>
            </w:pPr>
          </w:p>
          <w:p w14:paraId="18909B69">
            <w:pPr>
              <w:spacing w:line="250" w:lineRule="auto"/>
              <w:rPr>
                <w:rFonts w:ascii="Arial"/>
                <w:sz w:val="21"/>
              </w:rPr>
            </w:pPr>
          </w:p>
          <w:p w14:paraId="6AF96C8A">
            <w:pPr>
              <w:spacing w:line="250" w:lineRule="auto"/>
              <w:rPr>
                <w:rFonts w:ascii="Arial"/>
                <w:sz w:val="21"/>
              </w:rPr>
            </w:pPr>
          </w:p>
          <w:p w14:paraId="64FFC208">
            <w:pPr>
              <w:spacing w:line="250" w:lineRule="auto"/>
              <w:rPr>
                <w:rFonts w:ascii="Arial"/>
                <w:sz w:val="21"/>
              </w:rPr>
            </w:pPr>
          </w:p>
          <w:p w14:paraId="7821DB3F">
            <w:pPr>
              <w:spacing w:line="250" w:lineRule="auto"/>
              <w:rPr>
                <w:rFonts w:ascii="Arial"/>
                <w:sz w:val="21"/>
              </w:rPr>
            </w:pPr>
          </w:p>
          <w:p w14:paraId="5D958B8E">
            <w:pPr>
              <w:spacing w:line="250" w:lineRule="auto"/>
              <w:rPr>
                <w:rFonts w:ascii="Arial"/>
                <w:sz w:val="21"/>
              </w:rPr>
            </w:pPr>
          </w:p>
          <w:p w14:paraId="5518F289">
            <w:pPr>
              <w:spacing w:line="250" w:lineRule="auto"/>
              <w:rPr>
                <w:rFonts w:ascii="Arial"/>
                <w:sz w:val="21"/>
              </w:rPr>
            </w:pPr>
          </w:p>
          <w:p w14:paraId="65BB0015">
            <w:pPr>
              <w:spacing w:line="250" w:lineRule="auto"/>
              <w:rPr>
                <w:rFonts w:ascii="Arial"/>
                <w:sz w:val="21"/>
              </w:rPr>
            </w:pPr>
          </w:p>
          <w:p w14:paraId="10544D69">
            <w:pPr>
              <w:spacing w:line="250" w:lineRule="auto"/>
              <w:rPr>
                <w:rFonts w:ascii="Arial"/>
                <w:sz w:val="21"/>
              </w:rPr>
            </w:pPr>
          </w:p>
          <w:p w14:paraId="5C62CF19">
            <w:pPr>
              <w:pStyle w:val="6"/>
              <w:spacing w:before="68" w:line="230" w:lineRule="auto"/>
              <w:ind w:left="721" w:right="183" w:hanging="524"/>
            </w:pPr>
            <w:r>
              <w:rPr>
                <w:spacing w:val="-1"/>
              </w:rPr>
              <w:t>工程质量管理体系及</w:t>
            </w:r>
            <w:r>
              <w:rPr>
                <w:spacing w:val="-2"/>
              </w:rPr>
              <w:t>保证措施</w:t>
            </w:r>
          </w:p>
        </w:tc>
        <w:tc>
          <w:tcPr>
            <w:tcW w:w="1135" w:type="dxa"/>
            <w:vAlign w:val="top"/>
          </w:tcPr>
          <w:p w14:paraId="359EE533">
            <w:pPr>
              <w:spacing w:line="263" w:lineRule="auto"/>
              <w:rPr>
                <w:rFonts w:ascii="Arial"/>
                <w:sz w:val="21"/>
              </w:rPr>
            </w:pPr>
          </w:p>
          <w:p w14:paraId="283F3AE0">
            <w:pPr>
              <w:spacing w:line="263" w:lineRule="auto"/>
              <w:rPr>
                <w:rFonts w:ascii="Arial"/>
                <w:sz w:val="21"/>
              </w:rPr>
            </w:pPr>
          </w:p>
          <w:p w14:paraId="305790A2">
            <w:pPr>
              <w:spacing w:line="263" w:lineRule="auto"/>
              <w:rPr>
                <w:rFonts w:ascii="Arial"/>
                <w:sz w:val="21"/>
              </w:rPr>
            </w:pPr>
          </w:p>
          <w:p w14:paraId="75C29527">
            <w:pPr>
              <w:spacing w:line="263" w:lineRule="auto"/>
              <w:rPr>
                <w:rFonts w:ascii="Arial"/>
                <w:sz w:val="21"/>
              </w:rPr>
            </w:pPr>
          </w:p>
          <w:p w14:paraId="46A519C8">
            <w:pPr>
              <w:spacing w:line="263" w:lineRule="auto"/>
              <w:rPr>
                <w:rFonts w:ascii="Arial"/>
                <w:sz w:val="21"/>
              </w:rPr>
            </w:pPr>
          </w:p>
          <w:p w14:paraId="4C1C02C5">
            <w:pPr>
              <w:spacing w:line="263" w:lineRule="auto"/>
              <w:rPr>
                <w:rFonts w:ascii="Arial"/>
                <w:sz w:val="21"/>
              </w:rPr>
            </w:pPr>
          </w:p>
          <w:p w14:paraId="2E1EBE5B">
            <w:pPr>
              <w:spacing w:line="263" w:lineRule="auto"/>
              <w:rPr>
                <w:rFonts w:ascii="Arial"/>
                <w:sz w:val="21"/>
              </w:rPr>
            </w:pPr>
          </w:p>
          <w:p w14:paraId="340F8822">
            <w:pPr>
              <w:spacing w:line="263" w:lineRule="auto"/>
              <w:rPr>
                <w:rFonts w:ascii="Arial"/>
                <w:sz w:val="21"/>
              </w:rPr>
            </w:pPr>
          </w:p>
          <w:p w14:paraId="6BCB67BF">
            <w:pPr>
              <w:spacing w:line="264" w:lineRule="auto"/>
              <w:rPr>
                <w:rFonts w:ascii="Arial"/>
                <w:sz w:val="21"/>
              </w:rPr>
            </w:pPr>
          </w:p>
          <w:p w14:paraId="0256F507">
            <w:pPr>
              <w:spacing w:line="264" w:lineRule="auto"/>
              <w:rPr>
                <w:rFonts w:ascii="Arial"/>
                <w:sz w:val="21"/>
              </w:rPr>
            </w:pPr>
          </w:p>
          <w:p w14:paraId="2D8532EA">
            <w:pPr>
              <w:pStyle w:val="6"/>
              <w:spacing w:before="68" w:line="221" w:lineRule="auto"/>
              <w:ind w:left="289"/>
            </w:pPr>
            <w:r>
              <w:rPr>
                <w:spacing w:val="-3"/>
              </w:rPr>
              <w:t>5.0分</w:t>
            </w:r>
          </w:p>
        </w:tc>
        <w:tc>
          <w:tcPr>
            <w:tcW w:w="1202" w:type="dxa"/>
            <w:vAlign w:val="top"/>
          </w:tcPr>
          <w:p w14:paraId="18FC05E3">
            <w:pPr>
              <w:pStyle w:val="6"/>
              <w:spacing w:before="137" w:line="238" w:lineRule="auto"/>
              <w:ind w:left="187" w:right="174"/>
            </w:pPr>
            <w:r>
              <w:rPr>
                <w:spacing w:val="-2"/>
              </w:rPr>
              <w:t>针对本项目的工程质量管理体系及保</w:t>
            </w:r>
            <w:r>
              <w:rPr>
                <w:spacing w:val="33"/>
              </w:rPr>
              <w:t>证措施</w:t>
            </w:r>
            <w:r>
              <w:rPr>
                <w:spacing w:val="-2"/>
              </w:rPr>
              <w:t>（含档案及内业管</w:t>
            </w:r>
            <w:r>
              <w:rPr>
                <w:spacing w:val="-5"/>
              </w:rPr>
              <w:t>理措施）</w:t>
            </w:r>
            <w:r>
              <w:rPr>
                <w:spacing w:val="-2"/>
              </w:rPr>
              <w:t>优劣程度（应建立有效的质量管理体系）。满</w:t>
            </w:r>
            <w:r>
              <w:rPr>
                <w:spacing w:val="-8"/>
              </w:rPr>
              <w:t>分5分，</w:t>
            </w:r>
            <w:r>
              <w:rPr>
                <w:spacing w:val="-2"/>
              </w:rPr>
              <w:t>其它酌情</w:t>
            </w:r>
            <w:r>
              <w:rPr>
                <w:spacing w:val="22"/>
              </w:rPr>
              <w:t>减分。</w:t>
            </w:r>
          </w:p>
          <w:p w14:paraId="5C4D8AE4">
            <w:pPr>
              <w:pStyle w:val="6"/>
              <w:spacing w:before="19" w:line="221" w:lineRule="auto"/>
              <w:ind w:left="194"/>
            </w:pPr>
            <w:r>
              <w:rPr>
                <w:spacing w:val="-6"/>
              </w:rPr>
              <w:t>（打分范</w:t>
            </w:r>
          </w:p>
          <w:p w14:paraId="2A20E251">
            <w:pPr>
              <w:pStyle w:val="6"/>
              <w:spacing w:before="22" w:line="232" w:lineRule="auto"/>
              <w:ind w:left="190" w:right="174" w:firstLine="146"/>
            </w:pPr>
            <w:r>
              <w:rPr>
                <w:spacing w:val="-10"/>
              </w:rPr>
              <w:t>围3-5</w:t>
            </w:r>
            <w:r>
              <w:rPr>
                <w:spacing w:val="-3"/>
              </w:rPr>
              <w:t>分，未提</w:t>
            </w:r>
            <w:r>
              <w:rPr>
                <w:spacing w:val="32"/>
              </w:rPr>
              <w:t>供不得</w:t>
            </w:r>
          </w:p>
        </w:tc>
      </w:tr>
    </w:tbl>
    <w:p w14:paraId="7D904D2B">
      <w:pPr>
        <w:pStyle w:val="2"/>
      </w:pPr>
    </w:p>
    <w:p w14:paraId="76CF7B80">
      <w:pPr>
        <w:sectPr>
          <w:footerReference r:id="rId10" w:type="default"/>
          <w:pgSz w:w="11912" w:h="16851"/>
          <w:pgMar w:top="400" w:right="1685" w:bottom="1024" w:left="1687" w:header="0" w:footer="861" w:gutter="0"/>
          <w:cols w:space="720" w:num="1"/>
        </w:sectPr>
      </w:pPr>
    </w:p>
    <w:p w14:paraId="0151D977">
      <w:pPr>
        <w:spacing w:before="19"/>
      </w:pPr>
    </w:p>
    <w:p w14:paraId="7E7306FF">
      <w:pPr>
        <w:spacing w:before="19"/>
      </w:pPr>
    </w:p>
    <w:p w14:paraId="2691C736">
      <w:pPr>
        <w:spacing w:before="18"/>
      </w:pPr>
    </w:p>
    <w:p w14:paraId="7E2B4B93">
      <w:pPr>
        <w:spacing w:before="18"/>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740"/>
        <w:gridCol w:w="1134"/>
        <w:gridCol w:w="2269"/>
        <w:gridCol w:w="1135"/>
        <w:gridCol w:w="1202"/>
      </w:tblGrid>
      <w:tr w14:paraId="7496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53" w:type="dxa"/>
            <w:vMerge w:val="restart"/>
            <w:tcBorders>
              <w:bottom w:val="nil"/>
            </w:tcBorders>
            <w:vAlign w:val="top"/>
          </w:tcPr>
          <w:p w14:paraId="7BBB5A00">
            <w:pPr>
              <w:rPr>
                <w:rFonts w:ascii="Arial"/>
                <w:sz w:val="21"/>
              </w:rPr>
            </w:pPr>
          </w:p>
        </w:tc>
        <w:tc>
          <w:tcPr>
            <w:tcW w:w="1740" w:type="dxa"/>
            <w:vMerge w:val="restart"/>
            <w:tcBorders>
              <w:bottom w:val="nil"/>
            </w:tcBorders>
            <w:vAlign w:val="top"/>
          </w:tcPr>
          <w:p w14:paraId="60738AF0">
            <w:pPr>
              <w:rPr>
                <w:rFonts w:ascii="Arial"/>
                <w:sz w:val="21"/>
              </w:rPr>
            </w:pPr>
          </w:p>
        </w:tc>
        <w:tc>
          <w:tcPr>
            <w:tcW w:w="1134" w:type="dxa"/>
            <w:vMerge w:val="restart"/>
            <w:tcBorders>
              <w:bottom w:val="nil"/>
            </w:tcBorders>
            <w:vAlign w:val="top"/>
          </w:tcPr>
          <w:p w14:paraId="6054D5D8">
            <w:pPr>
              <w:rPr>
                <w:rFonts w:ascii="Arial"/>
                <w:sz w:val="21"/>
              </w:rPr>
            </w:pPr>
          </w:p>
        </w:tc>
        <w:tc>
          <w:tcPr>
            <w:tcW w:w="2269" w:type="dxa"/>
            <w:vAlign w:val="top"/>
          </w:tcPr>
          <w:p w14:paraId="203D27B7">
            <w:pPr>
              <w:rPr>
                <w:rFonts w:ascii="Arial"/>
                <w:sz w:val="21"/>
              </w:rPr>
            </w:pPr>
          </w:p>
        </w:tc>
        <w:tc>
          <w:tcPr>
            <w:tcW w:w="1135" w:type="dxa"/>
            <w:vAlign w:val="top"/>
          </w:tcPr>
          <w:p w14:paraId="789A31D1">
            <w:pPr>
              <w:rPr>
                <w:rFonts w:ascii="Arial"/>
                <w:sz w:val="21"/>
              </w:rPr>
            </w:pPr>
          </w:p>
        </w:tc>
        <w:tc>
          <w:tcPr>
            <w:tcW w:w="1202" w:type="dxa"/>
            <w:vAlign w:val="top"/>
          </w:tcPr>
          <w:p w14:paraId="7BBBE50E">
            <w:pPr>
              <w:pStyle w:val="6"/>
              <w:spacing w:before="130" w:line="221" w:lineRule="auto"/>
              <w:ind w:left="293"/>
            </w:pPr>
            <w:r>
              <w:rPr>
                <w:spacing w:val="-5"/>
              </w:rPr>
              <w:t>分。）</w:t>
            </w:r>
          </w:p>
        </w:tc>
      </w:tr>
      <w:tr w14:paraId="0591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1" w:hRule="atLeast"/>
        </w:trPr>
        <w:tc>
          <w:tcPr>
            <w:tcW w:w="1053" w:type="dxa"/>
            <w:vMerge w:val="continue"/>
            <w:tcBorders>
              <w:top w:val="nil"/>
              <w:bottom w:val="nil"/>
            </w:tcBorders>
            <w:vAlign w:val="top"/>
          </w:tcPr>
          <w:p w14:paraId="5353A98B">
            <w:pPr>
              <w:rPr>
                <w:rFonts w:ascii="Arial"/>
                <w:sz w:val="21"/>
              </w:rPr>
            </w:pPr>
          </w:p>
        </w:tc>
        <w:tc>
          <w:tcPr>
            <w:tcW w:w="1740" w:type="dxa"/>
            <w:vMerge w:val="continue"/>
            <w:tcBorders>
              <w:top w:val="nil"/>
              <w:bottom w:val="nil"/>
            </w:tcBorders>
            <w:vAlign w:val="top"/>
          </w:tcPr>
          <w:p w14:paraId="111A2817">
            <w:pPr>
              <w:rPr>
                <w:rFonts w:ascii="Arial"/>
                <w:sz w:val="21"/>
              </w:rPr>
            </w:pPr>
          </w:p>
        </w:tc>
        <w:tc>
          <w:tcPr>
            <w:tcW w:w="1134" w:type="dxa"/>
            <w:vMerge w:val="continue"/>
            <w:tcBorders>
              <w:top w:val="nil"/>
              <w:bottom w:val="nil"/>
            </w:tcBorders>
            <w:vAlign w:val="top"/>
          </w:tcPr>
          <w:p w14:paraId="6227A02F">
            <w:pPr>
              <w:rPr>
                <w:rFonts w:ascii="Arial"/>
                <w:sz w:val="21"/>
              </w:rPr>
            </w:pPr>
          </w:p>
        </w:tc>
        <w:tc>
          <w:tcPr>
            <w:tcW w:w="2269" w:type="dxa"/>
            <w:vAlign w:val="top"/>
          </w:tcPr>
          <w:p w14:paraId="73EC2813">
            <w:pPr>
              <w:spacing w:line="247" w:lineRule="auto"/>
              <w:rPr>
                <w:rFonts w:ascii="Arial"/>
                <w:sz w:val="21"/>
              </w:rPr>
            </w:pPr>
          </w:p>
          <w:p w14:paraId="4E6EDA9D">
            <w:pPr>
              <w:spacing w:line="247" w:lineRule="auto"/>
              <w:rPr>
                <w:rFonts w:ascii="Arial"/>
                <w:sz w:val="21"/>
              </w:rPr>
            </w:pPr>
          </w:p>
          <w:p w14:paraId="3C16D572">
            <w:pPr>
              <w:spacing w:line="247" w:lineRule="auto"/>
              <w:rPr>
                <w:rFonts w:ascii="Arial"/>
                <w:sz w:val="21"/>
              </w:rPr>
            </w:pPr>
          </w:p>
          <w:p w14:paraId="184793D5">
            <w:pPr>
              <w:spacing w:line="247" w:lineRule="auto"/>
              <w:rPr>
                <w:rFonts w:ascii="Arial"/>
                <w:sz w:val="21"/>
              </w:rPr>
            </w:pPr>
          </w:p>
          <w:p w14:paraId="608CE4A2">
            <w:pPr>
              <w:spacing w:line="247" w:lineRule="auto"/>
              <w:rPr>
                <w:rFonts w:ascii="Arial"/>
                <w:sz w:val="21"/>
              </w:rPr>
            </w:pPr>
          </w:p>
          <w:p w14:paraId="261FBC41">
            <w:pPr>
              <w:spacing w:line="247" w:lineRule="auto"/>
              <w:rPr>
                <w:rFonts w:ascii="Arial"/>
                <w:sz w:val="21"/>
              </w:rPr>
            </w:pPr>
          </w:p>
          <w:p w14:paraId="7F8BA7CD">
            <w:pPr>
              <w:spacing w:line="247" w:lineRule="auto"/>
              <w:rPr>
                <w:rFonts w:ascii="Arial"/>
                <w:sz w:val="21"/>
              </w:rPr>
            </w:pPr>
          </w:p>
          <w:p w14:paraId="6F3A8BB4">
            <w:pPr>
              <w:spacing w:line="247" w:lineRule="auto"/>
              <w:rPr>
                <w:rFonts w:ascii="Arial"/>
                <w:sz w:val="21"/>
              </w:rPr>
            </w:pPr>
          </w:p>
          <w:p w14:paraId="7DAF4F2C">
            <w:pPr>
              <w:spacing w:line="247" w:lineRule="auto"/>
              <w:rPr>
                <w:rFonts w:ascii="Arial"/>
                <w:sz w:val="21"/>
              </w:rPr>
            </w:pPr>
          </w:p>
          <w:p w14:paraId="7A8F722E">
            <w:pPr>
              <w:pStyle w:val="6"/>
              <w:spacing w:before="68" w:line="231" w:lineRule="auto"/>
              <w:ind w:left="721" w:right="183" w:hanging="522"/>
            </w:pPr>
            <w:r>
              <w:rPr>
                <w:spacing w:val="-1"/>
              </w:rPr>
              <w:t>安全生产管理体系及</w:t>
            </w:r>
            <w:r>
              <w:rPr>
                <w:spacing w:val="-2"/>
              </w:rPr>
              <w:t>保证措施</w:t>
            </w:r>
          </w:p>
        </w:tc>
        <w:tc>
          <w:tcPr>
            <w:tcW w:w="1135" w:type="dxa"/>
            <w:vAlign w:val="top"/>
          </w:tcPr>
          <w:p w14:paraId="1447427E">
            <w:pPr>
              <w:spacing w:line="262" w:lineRule="auto"/>
              <w:rPr>
                <w:rFonts w:ascii="Arial"/>
                <w:sz w:val="21"/>
              </w:rPr>
            </w:pPr>
          </w:p>
          <w:p w14:paraId="7BF0987F">
            <w:pPr>
              <w:spacing w:line="262" w:lineRule="auto"/>
              <w:rPr>
                <w:rFonts w:ascii="Arial"/>
                <w:sz w:val="21"/>
              </w:rPr>
            </w:pPr>
          </w:p>
          <w:p w14:paraId="3B2C8DB8">
            <w:pPr>
              <w:spacing w:line="262" w:lineRule="auto"/>
              <w:rPr>
                <w:rFonts w:ascii="Arial"/>
                <w:sz w:val="21"/>
              </w:rPr>
            </w:pPr>
          </w:p>
          <w:p w14:paraId="162D14FB">
            <w:pPr>
              <w:spacing w:line="262" w:lineRule="auto"/>
              <w:rPr>
                <w:rFonts w:ascii="Arial"/>
                <w:sz w:val="21"/>
              </w:rPr>
            </w:pPr>
          </w:p>
          <w:p w14:paraId="43DC194C">
            <w:pPr>
              <w:spacing w:line="262" w:lineRule="auto"/>
              <w:rPr>
                <w:rFonts w:ascii="Arial"/>
                <w:sz w:val="21"/>
              </w:rPr>
            </w:pPr>
          </w:p>
          <w:p w14:paraId="42B16EE9">
            <w:pPr>
              <w:spacing w:line="262" w:lineRule="auto"/>
              <w:rPr>
                <w:rFonts w:ascii="Arial"/>
                <w:sz w:val="21"/>
              </w:rPr>
            </w:pPr>
          </w:p>
          <w:p w14:paraId="65B9D900">
            <w:pPr>
              <w:spacing w:line="262" w:lineRule="auto"/>
              <w:rPr>
                <w:rFonts w:ascii="Arial"/>
                <w:sz w:val="21"/>
              </w:rPr>
            </w:pPr>
          </w:p>
          <w:p w14:paraId="08EAAF41">
            <w:pPr>
              <w:spacing w:line="262" w:lineRule="auto"/>
              <w:rPr>
                <w:rFonts w:ascii="Arial"/>
                <w:sz w:val="21"/>
              </w:rPr>
            </w:pPr>
          </w:p>
          <w:p w14:paraId="6E8A0F94">
            <w:pPr>
              <w:spacing w:line="263" w:lineRule="auto"/>
              <w:rPr>
                <w:rFonts w:ascii="Arial"/>
                <w:sz w:val="21"/>
              </w:rPr>
            </w:pPr>
          </w:p>
          <w:p w14:paraId="4E821F85">
            <w:pPr>
              <w:pStyle w:val="6"/>
              <w:spacing w:before="68" w:line="221" w:lineRule="auto"/>
              <w:ind w:left="289"/>
            </w:pPr>
            <w:r>
              <w:rPr>
                <w:spacing w:val="-3"/>
              </w:rPr>
              <w:t>5.0分</w:t>
            </w:r>
          </w:p>
        </w:tc>
        <w:tc>
          <w:tcPr>
            <w:tcW w:w="1202" w:type="dxa"/>
            <w:vAlign w:val="top"/>
          </w:tcPr>
          <w:p w14:paraId="74C4E5CA">
            <w:pPr>
              <w:pStyle w:val="6"/>
              <w:spacing w:before="128" w:line="220" w:lineRule="auto"/>
              <w:ind w:left="188"/>
            </w:pPr>
            <w:r>
              <w:rPr>
                <w:spacing w:val="-2"/>
              </w:rPr>
              <w:t>针对本项</w:t>
            </w:r>
          </w:p>
          <w:p w14:paraId="7B15AB6B">
            <w:pPr>
              <w:pStyle w:val="6"/>
              <w:spacing w:before="21" w:line="222" w:lineRule="auto"/>
              <w:ind w:left="228"/>
            </w:pPr>
            <w:r>
              <w:rPr>
                <w:spacing w:val="-12"/>
              </w:rPr>
              <w:t>目的安全</w:t>
            </w:r>
          </w:p>
          <w:p w14:paraId="387C0CE7">
            <w:pPr>
              <w:pStyle w:val="6"/>
              <w:spacing w:before="20" w:line="221" w:lineRule="auto"/>
              <w:ind w:left="189"/>
            </w:pPr>
            <w:r>
              <w:rPr>
                <w:spacing w:val="-2"/>
              </w:rPr>
              <w:t>生产管理</w:t>
            </w:r>
          </w:p>
          <w:p w14:paraId="57979DA7">
            <w:pPr>
              <w:pStyle w:val="6"/>
              <w:spacing w:before="20" w:line="221" w:lineRule="auto"/>
              <w:ind w:left="188"/>
            </w:pPr>
            <w:r>
              <w:rPr>
                <w:spacing w:val="-2"/>
              </w:rPr>
              <w:t>体系及保</w:t>
            </w:r>
          </w:p>
          <w:p w14:paraId="6D50796A">
            <w:pPr>
              <w:pStyle w:val="6"/>
              <w:spacing w:before="21" w:line="221" w:lineRule="auto"/>
              <w:ind w:left="188"/>
            </w:pPr>
            <w:r>
              <w:rPr>
                <w:spacing w:val="-2"/>
              </w:rPr>
              <w:t>证措施优</w:t>
            </w:r>
          </w:p>
          <w:p w14:paraId="48FCAAF4">
            <w:pPr>
              <w:pStyle w:val="6"/>
              <w:spacing w:before="19" w:line="221" w:lineRule="auto"/>
              <w:ind w:left="297"/>
            </w:pPr>
            <w:r>
              <w:rPr>
                <w:spacing w:val="-3"/>
              </w:rPr>
              <w:t>劣程度</w:t>
            </w:r>
          </w:p>
          <w:p w14:paraId="1B63DE35">
            <w:pPr>
              <w:pStyle w:val="6"/>
              <w:spacing w:before="23" w:line="222" w:lineRule="auto"/>
              <w:ind w:left="194"/>
            </w:pPr>
            <w:r>
              <w:rPr>
                <w:spacing w:val="-6"/>
              </w:rPr>
              <w:t>（应建立</w:t>
            </w:r>
          </w:p>
          <w:p w14:paraId="7AD5B8B0">
            <w:pPr>
              <w:pStyle w:val="6"/>
              <w:spacing w:before="19" w:line="221" w:lineRule="auto"/>
              <w:ind w:left="189"/>
            </w:pPr>
            <w:r>
              <w:rPr>
                <w:spacing w:val="-2"/>
              </w:rPr>
              <w:t>有效的安</w:t>
            </w:r>
          </w:p>
          <w:p w14:paraId="268CE635">
            <w:pPr>
              <w:pStyle w:val="6"/>
              <w:spacing w:before="19" w:line="221" w:lineRule="auto"/>
              <w:ind w:left="188"/>
            </w:pPr>
            <w:r>
              <w:rPr>
                <w:spacing w:val="-2"/>
              </w:rPr>
              <w:t>全管理体</w:t>
            </w:r>
          </w:p>
          <w:p w14:paraId="7E8CB498">
            <w:pPr>
              <w:pStyle w:val="6"/>
              <w:spacing w:before="22" w:line="221" w:lineRule="auto"/>
              <w:ind w:left="192"/>
            </w:pPr>
            <w:r>
              <w:rPr>
                <w:spacing w:val="-3"/>
              </w:rPr>
              <w:t>系）。满</w:t>
            </w:r>
          </w:p>
          <w:p w14:paraId="4368BB13">
            <w:pPr>
              <w:pStyle w:val="6"/>
              <w:spacing w:before="19" w:line="234" w:lineRule="auto"/>
              <w:ind w:left="189" w:right="174" w:firstLine="1"/>
            </w:pPr>
            <w:r>
              <w:rPr>
                <w:spacing w:val="-9"/>
              </w:rPr>
              <w:t>分5分，</w:t>
            </w:r>
            <w:r>
              <w:rPr>
                <w:spacing w:val="-2"/>
              </w:rPr>
              <w:t>其它酌情</w:t>
            </w:r>
            <w:r>
              <w:rPr>
                <w:spacing w:val="22"/>
              </w:rPr>
              <w:t>减分。</w:t>
            </w:r>
          </w:p>
          <w:p w14:paraId="001743EC">
            <w:pPr>
              <w:pStyle w:val="6"/>
              <w:spacing w:before="22" w:line="221" w:lineRule="auto"/>
              <w:ind w:left="194"/>
            </w:pPr>
            <w:r>
              <w:rPr>
                <w:spacing w:val="-6"/>
              </w:rPr>
              <w:t>（打分范</w:t>
            </w:r>
          </w:p>
          <w:p w14:paraId="1E54BA9E">
            <w:pPr>
              <w:pStyle w:val="6"/>
              <w:spacing w:before="21" w:line="235" w:lineRule="auto"/>
              <w:ind w:left="190" w:right="174" w:firstLine="146"/>
            </w:pPr>
            <w:r>
              <w:rPr>
                <w:spacing w:val="-10"/>
              </w:rPr>
              <w:t>围3-5</w:t>
            </w:r>
            <w:r>
              <w:rPr>
                <w:spacing w:val="-3"/>
              </w:rPr>
              <w:t>分，未提</w:t>
            </w:r>
            <w:r>
              <w:rPr>
                <w:spacing w:val="32"/>
              </w:rPr>
              <w:t>供不得</w:t>
            </w:r>
            <w:r>
              <w:rPr>
                <w:spacing w:val="27"/>
              </w:rPr>
              <w:t>分。）</w:t>
            </w:r>
          </w:p>
        </w:tc>
      </w:tr>
      <w:tr w14:paraId="75100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2" w:hRule="atLeast"/>
        </w:trPr>
        <w:tc>
          <w:tcPr>
            <w:tcW w:w="1053" w:type="dxa"/>
            <w:vMerge w:val="continue"/>
            <w:tcBorders>
              <w:top w:val="nil"/>
              <w:bottom w:val="nil"/>
            </w:tcBorders>
            <w:vAlign w:val="top"/>
          </w:tcPr>
          <w:p w14:paraId="4308310C">
            <w:pPr>
              <w:rPr>
                <w:rFonts w:ascii="Arial"/>
                <w:sz w:val="21"/>
              </w:rPr>
            </w:pPr>
          </w:p>
        </w:tc>
        <w:tc>
          <w:tcPr>
            <w:tcW w:w="1740" w:type="dxa"/>
            <w:vMerge w:val="continue"/>
            <w:tcBorders>
              <w:top w:val="nil"/>
              <w:bottom w:val="nil"/>
            </w:tcBorders>
            <w:vAlign w:val="top"/>
          </w:tcPr>
          <w:p w14:paraId="39B83BD2">
            <w:pPr>
              <w:rPr>
                <w:rFonts w:ascii="Arial"/>
                <w:sz w:val="21"/>
              </w:rPr>
            </w:pPr>
          </w:p>
        </w:tc>
        <w:tc>
          <w:tcPr>
            <w:tcW w:w="1134" w:type="dxa"/>
            <w:vMerge w:val="continue"/>
            <w:tcBorders>
              <w:top w:val="nil"/>
              <w:bottom w:val="nil"/>
            </w:tcBorders>
            <w:vAlign w:val="top"/>
          </w:tcPr>
          <w:p w14:paraId="0332A513">
            <w:pPr>
              <w:rPr>
                <w:rFonts w:ascii="Arial"/>
                <w:sz w:val="21"/>
              </w:rPr>
            </w:pPr>
          </w:p>
        </w:tc>
        <w:tc>
          <w:tcPr>
            <w:tcW w:w="2269" w:type="dxa"/>
            <w:vAlign w:val="top"/>
          </w:tcPr>
          <w:p w14:paraId="6F402E77">
            <w:pPr>
              <w:spacing w:line="262" w:lineRule="auto"/>
              <w:rPr>
                <w:rFonts w:ascii="Arial"/>
                <w:sz w:val="21"/>
              </w:rPr>
            </w:pPr>
          </w:p>
          <w:p w14:paraId="67B51916">
            <w:pPr>
              <w:spacing w:line="262" w:lineRule="auto"/>
              <w:rPr>
                <w:rFonts w:ascii="Arial"/>
                <w:sz w:val="21"/>
              </w:rPr>
            </w:pPr>
          </w:p>
          <w:p w14:paraId="7D15B392">
            <w:pPr>
              <w:spacing w:line="262" w:lineRule="auto"/>
              <w:rPr>
                <w:rFonts w:ascii="Arial"/>
                <w:sz w:val="21"/>
              </w:rPr>
            </w:pPr>
          </w:p>
          <w:p w14:paraId="4E381DB0">
            <w:pPr>
              <w:spacing w:line="262" w:lineRule="auto"/>
              <w:rPr>
                <w:rFonts w:ascii="Arial"/>
                <w:sz w:val="21"/>
              </w:rPr>
            </w:pPr>
          </w:p>
          <w:p w14:paraId="32BE2DCA">
            <w:pPr>
              <w:spacing w:line="262" w:lineRule="auto"/>
              <w:rPr>
                <w:rFonts w:ascii="Arial"/>
                <w:sz w:val="21"/>
              </w:rPr>
            </w:pPr>
          </w:p>
          <w:p w14:paraId="52677E78">
            <w:pPr>
              <w:spacing w:line="262" w:lineRule="auto"/>
              <w:rPr>
                <w:rFonts w:ascii="Arial"/>
                <w:sz w:val="21"/>
              </w:rPr>
            </w:pPr>
          </w:p>
          <w:p w14:paraId="6C71DAF0">
            <w:pPr>
              <w:spacing w:line="263" w:lineRule="auto"/>
              <w:rPr>
                <w:rFonts w:ascii="Arial"/>
                <w:sz w:val="21"/>
              </w:rPr>
            </w:pPr>
          </w:p>
          <w:p w14:paraId="2D713DA2">
            <w:pPr>
              <w:spacing w:line="263" w:lineRule="auto"/>
              <w:rPr>
                <w:rFonts w:ascii="Arial"/>
                <w:sz w:val="21"/>
              </w:rPr>
            </w:pPr>
          </w:p>
          <w:p w14:paraId="37170AB8">
            <w:pPr>
              <w:spacing w:line="263" w:lineRule="auto"/>
              <w:rPr>
                <w:rFonts w:ascii="Arial"/>
                <w:sz w:val="21"/>
              </w:rPr>
            </w:pPr>
          </w:p>
          <w:p w14:paraId="68C2E239">
            <w:pPr>
              <w:pStyle w:val="6"/>
              <w:spacing w:before="68" w:line="231" w:lineRule="auto"/>
              <w:ind w:left="195" w:right="183"/>
            </w:pPr>
            <w:r>
              <w:rPr>
                <w:spacing w:val="-1"/>
              </w:rPr>
              <w:t>环境保护、水土保持保证体系及保证措施</w:t>
            </w:r>
          </w:p>
        </w:tc>
        <w:tc>
          <w:tcPr>
            <w:tcW w:w="1135" w:type="dxa"/>
            <w:vAlign w:val="top"/>
          </w:tcPr>
          <w:p w14:paraId="49B841A8">
            <w:pPr>
              <w:spacing w:line="249" w:lineRule="auto"/>
              <w:rPr>
                <w:rFonts w:ascii="Arial"/>
                <w:sz w:val="21"/>
              </w:rPr>
            </w:pPr>
          </w:p>
          <w:p w14:paraId="66DB1BDB">
            <w:pPr>
              <w:spacing w:line="249" w:lineRule="auto"/>
              <w:rPr>
                <w:rFonts w:ascii="Arial"/>
                <w:sz w:val="21"/>
              </w:rPr>
            </w:pPr>
          </w:p>
          <w:p w14:paraId="30C90632">
            <w:pPr>
              <w:spacing w:line="249" w:lineRule="auto"/>
              <w:rPr>
                <w:rFonts w:ascii="Arial"/>
                <w:sz w:val="21"/>
              </w:rPr>
            </w:pPr>
          </w:p>
          <w:p w14:paraId="78559057">
            <w:pPr>
              <w:spacing w:line="250" w:lineRule="auto"/>
              <w:rPr>
                <w:rFonts w:ascii="Arial"/>
                <w:sz w:val="21"/>
              </w:rPr>
            </w:pPr>
          </w:p>
          <w:p w14:paraId="1071B529">
            <w:pPr>
              <w:spacing w:line="250" w:lineRule="auto"/>
              <w:rPr>
                <w:rFonts w:ascii="Arial"/>
                <w:sz w:val="21"/>
              </w:rPr>
            </w:pPr>
          </w:p>
          <w:p w14:paraId="129D3775">
            <w:pPr>
              <w:spacing w:line="250" w:lineRule="auto"/>
              <w:rPr>
                <w:rFonts w:ascii="Arial"/>
                <w:sz w:val="21"/>
              </w:rPr>
            </w:pPr>
          </w:p>
          <w:p w14:paraId="5E72F482">
            <w:pPr>
              <w:spacing w:line="250" w:lineRule="auto"/>
              <w:rPr>
                <w:rFonts w:ascii="Arial"/>
                <w:sz w:val="21"/>
              </w:rPr>
            </w:pPr>
          </w:p>
          <w:p w14:paraId="284A4679">
            <w:pPr>
              <w:spacing w:line="250" w:lineRule="auto"/>
              <w:rPr>
                <w:rFonts w:ascii="Arial"/>
                <w:sz w:val="21"/>
              </w:rPr>
            </w:pPr>
          </w:p>
          <w:p w14:paraId="366E52DF">
            <w:pPr>
              <w:spacing w:line="250" w:lineRule="auto"/>
              <w:rPr>
                <w:rFonts w:ascii="Arial"/>
                <w:sz w:val="21"/>
              </w:rPr>
            </w:pPr>
          </w:p>
          <w:p w14:paraId="41A4D9D3">
            <w:pPr>
              <w:spacing w:line="250" w:lineRule="auto"/>
              <w:rPr>
                <w:rFonts w:ascii="Arial"/>
                <w:sz w:val="21"/>
              </w:rPr>
            </w:pPr>
          </w:p>
          <w:p w14:paraId="5839C8AA">
            <w:pPr>
              <w:pStyle w:val="6"/>
              <w:spacing w:before="68" w:line="221" w:lineRule="auto"/>
              <w:ind w:left="284"/>
            </w:pPr>
            <w:r>
              <w:rPr>
                <w:spacing w:val="-2"/>
              </w:rPr>
              <w:t>4.0分</w:t>
            </w:r>
          </w:p>
        </w:tc>
        <w:tc>
          <w:tcPr>
            <w:tcW w:w="1202" w:type="dxa"/>
            <w:vAlign w:val="top"/>
          </w:tcPr>
          <w:p w14:paraId="46070C45">
            <w:pPr>
              <w:pStyle w:val="6"/>
              <w:spacing w:before="132" w:line="238" w:lineRule="auto"/>
              <w:ind w:left="187" w:right="174"/>
            </w:pPr>
            <w:r>
              <w:rPr>
                <w:spacing w:val="-2"/>
              </w:rPr>
              <w:t>针对本项目的环境保护、水土保持保证体系及保证措施优劣程度（应建立有效的环境管理体系）。满</w:t>
            </w:r>
            <w:r>
              <w:rPr>
                <w:spacing w:val="-6"/>
              </w:rPr>
              <w:t>分4分，</w:t>
            </w:r>
            <w:r>
              <w:rPr>
                <w:spacing w:val="-2"/>
              </w:rPr>
              <w:t>其它酌情</w:t>
            </w:r>
            <w:r>
              <w:rPr>
                <w:spacing w:val="22"/>
              </w:rPr>
              <w:t>减分。</w:t>
            </w:r>
          </w:p>
          <w:p w14:paraId="437E65BE">
            <w:pPr>
              <w:pStyle w:val="6"/>
              <w:spacing w:before="18" w:line="236" w:lineRule="auto"/>
              <w:ind w:left="190" w:right="174" w:firstLine="3"/>
            </w:pPr>
            <w:r>
              <w:rPr>
                <w:spacing w:val="-4"/>
              </w:rPr>
              <w:t>（打分范</w:t>
            </w:r>
            <w:r>
              <w:rPr>
                <w:spacing w:val="1"/>
              </w:rPr>
              <w:t>围2.4-4</w:t>
            </w:r>
            <w:r>
              <w:rPr>
                <w:spacing w:val="-3"/>
              </w:rPr>
              <w:t>分，未提</w:t>
            </w:r>
            <w:r>
              <w:rPr>
                <w:spacing w:val="32"/>
              </w:rPr>
              <w:t>供不得</w:t>
            </w:r>
            <w:r>
              <w:rPr>
                <w:spacing w:val="27"/>
              </w:rPr>
              <w:t>分。）</w:t>
            </w:r>
          </w:p>
        </w:tc>
      </w:tr>
      <w:tr w14:paraId="4B39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1053" w:type="dxa"/>
            <w:vMerge w:val="continue"/>
            <w:tcBorders>
              <w:top w:val="nil"/>
            </w:tcBorders>
            <w:vAlign w:val="top"/>
          </w:tcPr>
          <w:p w14:paraId="7B1A79DC">
            <w:pPr>
              <w:rPr>
                <w:rFonts w:ascii="Arial"/>
                <w:sz w:val="21"/>
              </w:rPr>
            </w:pPr>
          </w:p>
        </w:tc>
        <w:tc>
          <w:tcPr>
            <w:tcW w:w="1740" w:type="dxa"/>
            <w:vMerge w:val="continue"/>
            <w:tcBorders>
              <w:top w:val="nil"/>
            </w:tcBorders>
            <w:vAlign w:val="top"/>
          </w:tcPr>
          <w:p w14:paraId="4B87809C">
            <w:pPr>
              <w:rPr>
                <w:rFonts w:ascii="Arial"/>
                <w:sz w:val="21"/>
              </w:rPr>
            </w:pPr>
          </w:p>
        </w:tc>
        <w:tc>
          <w:tcPr>
            <w:tcW w:w="1134" w:type="dxa"/>
            <w:vMerge w:val="continue"/>
            <w:tcBorders>
              <w:top w:val="nil"/>
            </w:tcBorders>
            <w:vAlign w:val="top"/>
          </w:tcPr>
          <w:p w14:paraId="47EE42DA">
            <w:pPr>
              <w:rPr>
                <w:rFonts w:ascii="Arial"/>
                <w:sz w:val="21"/>
              </w:rPr>
            </w:pPr>
          </w:p>
        </w:tc>
        <w:tc>
          <w:tcPr>
            <w:tcW w:w="2269" w:type="dxa"/>
            <w:vAlign w:val="top"/>
          </w:tcPr>
          <w:p w14:paraId="259D75FD">
            <w:pPr>
              <w:spacing w:line="286" w:lineRule="auto"/>
              <w:rPr>
                <w:rFonts w:ascii="Arial"/>
                <w:sz w:val="21"/>
              </w:rPr>
            </w:pPr>
          </w:p>
          <w:p w14:paraId="765D1679">
            <w:pPr>
              <w:spacing w:line="286" w:lineRule="auto"/>
              <w:rPr>
                <w:rFonts w:ascii="Arial"/>
                <w:sz w:val="21"/>
              </w:rPr>
            </w:pPr>
          </w:p>
          <w:p w14:paraId="7A8A396C">
            <w:pPr>
              <w:spacing w:line="287" w:lineRule="auto"/>
              <w:rPr>
                <w:rFonts w:ascii="Arial"/>
                <w:sz w:val="21"/>
              </w:rPr>
            </w:pPr>
          </w:p>
          <w:p w14:paraId="35F74065">
            <w:pPr>
              <w:spacing w:line="287" w:lineRule="auto"/>
              <w:rPr>
                <w:rFonts w:ascii="Arial"/>
                <w:sz w:val="21"/>
              </w:rPr>
            </w:pPr>
          </w:p>
          <w:p w14:paraId="025FB253">
            <w:pPr>
              <w:pStyle w:val="6"/>
              <w:spacing w:before="68" w:line="230" w:lineRule="auto"/>
              <w:ind w:left="196" w:right="183"/>
            </w:pPr>
            <w:r>
              <w:rPr>
                <w:spacing w:val="-1"/>
              </w:rPr>
              <w:t>文明施工、文物保护保证体系及保证措施</w:t>
            </w:r>
          </w:p>
        </w:tc>
        <w:tc>
          <w:tcPr>
            <w:tcW w:w="1135" w:type="dxa"/>
            <w:vAlign w:val="top"/>
          </w:tcPr>
          <w:p w14:paraId="6187AD26">
            <w:pPr>
              <w:spacing w:line="256" w:lineRule="auto"/>
              <w:rPr>
                <w:rFonts w:ascii="Arial"/>
                <w:sz w:val="21"/>
              </w:rPr>
            </w:pPr>
          </w:p>
          <w:p w14:paraId="1850B3D7">
            <w:pPr>
              <w:spacing w:line="256" w:lineRule="auto"/>
              <w:rPr>
                <w:rFonts w:ascii="Arial"/>
                <w:sz w:val="21"/>
              </w:rPr>
            </w:pPr>
          </w:p>
          <w:p w14:paraId="7ECAA140">
            <w:pPr>
              <w:spacing w:line="257" w:lineRule="auto"/>
              <w:rPr>
                <w:rFonts w:ascii="Arial"/>
                <w:sz w:val="21"/>
              </w:rPr>
            </w:pPr>
          </w:p>
          <w:p w14:paraId="23FF54D8">
            <w:pPr>
              <w:spacing w:line="257" w:lineRule="auto"/>
              <w:rPr>
                <w:rFonts w:ascii="Arial"/>
                <w:sz w:val="21"/>
              </w:rPr>
            </w:pPr>
          </w:p>
          <w:p w14:paraId="6153BE3F">
            <w:pPr>
              <w:spacing w:line="257" w:lineRule="auto"/>
              <w:rPr>
                <w:rFonts w:ascii="Arial"/>
                <w:sz w:val="21"/>
              </w:rPr>
            </w:pPr>
          </w:p>
          <w:p w14:paraId="53C07AC3">
            <w:pPr>
              <w:pStyle w:val="6"/>
              <w:spacing w:before="68" w:line="221" w:lineRule="auto"/>
              <w:ind w:left="284"/>
            </w:pPr>
            <w:r>
              <w:rPr>
                <w:spacing w:val="-2"/>
              </w:rPr>
              <w:t>4.0分</w:t>
            </w:r>
          </w:p>
        </w:tc>
        <w:tc>
          <w:tcPr>
            <w:tcW w:w="1202" w:type="dxa"/>
            <w:vAlign w:val="top"/>
          </w:tcPr>
          <w:p w14:paraId="0071033E">
            <w:pPr>
              <w:pStyle w:val="6"/>
              <w:spacing w:before="127" w:line="238" w:lineRule="auto"/>
              <w:ind w:left="187" w:right="174"/>
            </w:pPr>
            <w:r>
              <w:rPr>
                <w:spacing w:val="-2"/>
              </w:rPr>
              <w:t>针对本项目的文明施工、文物保护保证体系及保证措施</w:t>
            </w:r>
            <w:r>
              <w:rPr>
                <w:spacing w:val="33"/>
              </w:rPr>
              <w:t>优劣程</w:t>
            </w:r>
            <w:r>
              <w:rPr>
                <w:spacing w:val="-2"/>
              </w:rPr>
              <w:t>度。满分</w:t>
            </w:r>
            <w:r>
              <w:rPr>
                <w:spacing w:val="2"/>
              </w:rPr>
              <w:t>4分，其</w:t>
            </w:r>
            <w:r>
              <w:rPr>
                <w:spacing w:val="-2"/>
              </w:rPr>
              <w:t>它酌情减</w:t>
            </w:r>
          </w:p>
        </w:tc>
      </w:tr>
    </w:tbl>
    <w:p w14:paraId="37B075AA">
      <w:pPr>
        <w:pStyle w:val="2"/>
      </w:pPr>
    </w:p>
    <w:p w14:paraId="34389E47">
      <w:pPr>
        <w:sectPr>
          <w:footerReference r:id="rId11" w:type="default"/>
          <w:pgSz w:w="11912" w:h="16851"/>
          <w:pgMar w:top="400" w:right="1685" w:bottom="1023" w:left="1687" w:header="0" w:footer="861" w:gutter="0"/>
          <w:cols w:space="720" w:num="1"/>
        </w:sectPr>
      </w:pPr>
    </w:p>
    <w:p w14:paraId="2E86D4B2">
      <w:pPr>
        <w:spacing w:before="19"/>
      </w:pPr>
    </w:p>
    <w:p w14:paraId="265D6E31">
      <w:pPr>
        <w:spacing w:before="19"/>
      </w:pPr>
    </w:p>
    <w:p w14:paraId="33E374AA">
      <w:pPr>
        <w:spacing w:before="18"/>
      </w:pPr>
    </w:p>
    <w:p w14:paraId="1B04EDE6">
      <w:pPr>
        <w:spacing w:before="18"/>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740"/>
        <w:gridCol w:w="1134"/>
        <w:gridCol w:w="2269"/>
        <w:gridCol w:w="1135"/>
        <w:gridCol w:w="1202"/>
      </w:tblGrid>
      <w:tr w14:paraId="0609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trPr>
        <w:tc>
          <w:tcPr>
            <w:tcW w:w="1053" w:type="dxa"/>
            <w:vMerge w:val="restart"/>
            <w:tcBorders>
              <w:bottom w:val="nil"/>
            </w:tcBorders>
            <w:vAlign w:val="top"/>
          </w:tcPr>
          <w:p w14:paraId="0185259E">
            <w:pPr>
              <w:rPr>
                <w:rFonts w:ascii="Arial"/>
                <w:sz w:val="21"/>
              </w:rPr>
            </w:pPr>
          </w:p>
        </w:tc>
        <w:tc>
          <w:tcPr>
            <w:tcW w:w="1740" w:type="dxa"/>
            <w:vMerge w:val="restart"/>
            <w:tcBorders>
              <w:bottom w:val="nil"/>
            </w:tcBorders>
            <w:vAlign w:val="top"/>
          </w:tcPr>
          <w:p w14:paraId="20E7162C">
            <w:pPr>
              <w:rPr>
                <w:rFonts w:ascii="Arial"/>
                <w:sz w:val="21"/>
              </w:rPr>
            </w:pPr>
          </w:p>
        </w:tc>
        <w:tc>
          <w:tcPr>
            <w:tcW w:w="1134" w:type="dxa"/>
            <w:vMerge w:val="restart"/>
            <w:tcBorders>
              <w:bottom w:val="nil"/>
            </w:tcBorders>
            <w:vAlign w:val="top"/>
          </w:tcPr>
          <w:p w14:paraId="55073BA5">
            <w:pPr>
              <w:rPr>
                <w:rFonts w:ascii="Arial"/>
                <w:sz w:val="21"/>
              </w:rPr>
            </w:pPr>
          </w:p>
        </w:tc>
        <w:tc>
          <w:tcPr>
            <w:tcW w:w="2269" w:type="dxa"/>
            <w:vAlign w:val="top"/>
          </w:tcPr>
          <w:p w14:paraId="0FC714E2">
            <w:pPr>
              <w:rPr>
                <w:rFonts w:ascii="Arial"/>
                <w:sz w:val="21"/>
              </w:rPr>
            </w:pPr>
          </w:p>
        </w:tc>
        <w:tc>
          <w:tcPr>
            <w:tcW w:w="1135" w:type="dxa"/>
            <w:vAlign w:val="top"/>
          </w:tcPr>
          <w:p w14:paraId="7CA2690C">
            <w:pPr>
              <w:rPr>
                <w:rFonts w:ascii="Arial"/>
                <w:sz w:val="21"/>
              </w:rPr>
            </w:pPr>
          </w:p>
        </w:tc>
        <w:tc>
          <w:tcPr>
            <w:tcW w:w="1202" w:type="dxa"/>
            <w:vAlign w:val="top"/>
          </w:tcPr>
          <w:p w14:paraId="093AD9EB">
            <w:pPr>
              <w:pStyle w:val="6"/>
              <w:spacing w:before="129" w:line="234" w:lineRule="auto"/>
              <w:ind w:left="293" w:right="174" w:hanging="103"/>
            </w:pPr>
            <w:r>
              <w:rPr>
                <w:spacing w:val="-3"/>
              </w:rPr>
              <w:t>分。（打分范围</w:t>
            </w:r>
            <w:r>
              <w:rPr>
                <w:spacing w:val="9"/>
              </w:rPr>
              <w:t>2.4-4</w:t>
            </w:r>
          </w:p>
          <w:p w14:paraId="18C2F7EE">
            <w:pPr>
              <w:pStyle w:val="6"/>
              <w:spacing w:before="20" w:line="233" w:lineRule="auto"/>
              <w:ind w:left="290" w:right="174" w:hanging="100"/>
            </w:pPr>
            <w:r>
              <w:rPr>
                <w:spacing w:val="-3"/>
              </w:rPr>
              <w:t>分，未提</w:t>
            </w:r>
            <w:r>
              <w:rPr>
                <w:spacing w:val="-2"/>
              </w:rPr>
              <w:t>供不得</w:t>
            </w:r>
            <w:r>
              <w:rPr>
                <w:spacing w:val="-5"/>
              </w:rPr>
              <w:t>分。）</w:t>
            </w:r>
          </w:p>
        </w:tc>
      </w:tr>
      <w:tr w14:paraId="4652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5" w:hRule="atLeast"/>
        </w:trPr>
        <w:tc>
          <w:tcPr>
            <w:tcW w:w="1053" w:type="dxa"/>
            <w:vMerge w:val="continue"/>
            <w:tcBorders>
              <w:top w:val="nil"/>
            </w:tcBorders>
            <w:vAlign w:val="top"/>
          </w:tcPr>
          <w:p w14:paraId="27315850">
            <w:pPr>
              <w:rPr>
                <w:rFonts w:ascii="Arial"/>
                <w:sz w:val="21"/>
              </w:rPr>
            </w:pPr>
          </w:p>
        </w:tc>
        <w:tc>
          <w:tcPr>
            <w:tcW w:w="1740" w:type="dxa"/>
            <w:vMerge w:val="continue"/>
            <w:tcBorders>
              <w:top w:val="nil"/>
            </w:tcBorders>
            <w:vAlign w:val="top"/>
          </w:tcPr>
          <w:p w14:paraId="1C2B451A">
            <w:pPr>
              <w:rPr>
                <w:rFonts w:ascii="Arial"/>
                <w:sz w:val="21"/>
              </w:rPr>
            </w:pPr>
          </w:p>
        </w:tc>
        <w:tc>
          <w:tcPr>
            <w:tcW w:w="1134" w:type="dxa"/>
            <w:vMerge w:val="continue"/>
            <w:tcBorders>
              <w:top w:val="nil"/>
            </w:tcBorders>
            <w:vAlign w:val="top"/>
          </w:tcPr>
          <w:p w14:paraId="004932E2">
            <w:pPr>
              <w:rPr>
                <w:rFonts w:ascii="Arial"/>
                <w:sz w:val="21"/>
              </w:rPr>
            </w:pPr>
          </w:p>
        </w:tc>
        <w:tc>
          <w:tcPr>
            <w:tcW w:w="2269" w:type="dxa"/>
            <w:vAlign w:val="top"/>
          </w:tcPr>
          <w:p w14:paraId="6D0C2FCA">
            <w:pPr>
              <w:spacing w:line="260" w:lineRule="auto"/>
              <w:rPr>
                <w:rFonts w:ascii="Arial"/>
                <w:sz w:val="21"/>
              </w:rPr>
            </w:pPr>
          </w:p>
          <w:p w14:paraId="641641C1">
            <w:pPr>
              <w:spacing w:line="260" w:lineRule="auto"/>
              <w:rPr>
                <w:rFonts w:ascii="Arial"/>
                <w:sz w:val="21"/>
              </w:rPr>
            </w:pPr>
          </w:p>
          <w:p w14:paraId="11FCE583">
            <w:pPr>
              <w:spacing w:line="260" w:lineRule="auto"/>
              <w:rPr>
                <w:rFonts w:ascii="Arial"/>
                <w:sz w:val="21"/>
              </w:rPr>
            </w:pPr>
          </w:p>
          <w:p w14:paraId="1159A45D">
            <w:pPr>
              <w:spacing w:line="260" w:lineRule="auto"/>
              <w:rPr>
                <w:rFonts w:ascii="Arial"/>
                <w:sz w:val="21"/>
              </w:rPr>
            </w:pPr>
          </w:p>
          <w:p w14:paraId="41B9EA07">
            <w:pPr>
              <w:spacing w:line="260" w:lineRule="auto"/>
              <w:rPr>
                <w:rFonts w:ascii="Arial"/>
                <w:sz w:val="21"/>
              </w:rPr>
            </w:pPr>
          </w:p>
          <w:p w14:paraId="70BA6C1A">
            <w:pPr>
              <w:spacing w:line="260" w:lineRule="auto"/>
              <w:rPr>
                <w:rFonts w:ascii="Arial"/>
                <w:sz w:val="21"/>
              </w:rPr>
            </w:pPr>
          </w:p>
          <w:p w14:paraId="5128E59F">
            <w:pPr>
              <w:spacing w:line="260" w:lineRule="auto"/>
              <w:rPr>
                <w:rFonts w:ascii="Arial"/>
                <w:sz w:val="21"/>
              </w:rPr>
            </w:pPr>
          </w:p>
          <w:p w14:paraId="2E07AF57">
            <w:pPr>
              <w:pStyle w:val="6"/>
              <w:spacing w:before="68" w:line="230" w:lineRule="auto"/>
              <w:ind w:left="305" w:right="288" w:hanging="1"/>
            </w:pPr>
            <w:r>
              <w:rPr>
                <w:spacing w:val="-2"/>
              </w:rPr>
              <w:t>项目风险预测与防范，事故应急预案</w:t>
            </w:r>
          </w:p>
        </w:tc>
        <w:tc>
          <w:tcPr>
            <w:tcW w:w="1135" w:type="dxa"/>
            <w:vAlign w:val="top"/>
          </w:tcPr>
          <w:p w14:paraId="4414E8AD">
            <w:pPr>
              <w:spacing w:line="244" w:lineRule="auto"/>
              <w:rPr>
                <w:rFonts w:ascii="Arial"/>
                <w:sz w:val="21"/>
              </w:rPr>
            </w:pPr>
          </w:p>
          <w:p w14:paraId="18E76B0F">
            <w:pPr>
              <w:spacing w:line="244" w:lineRule="auto"/>
              <w:rPr>
                <w:rFonts w:ascii="Arial"/>
                <w:sz w:val="21"/>
              </w:rPr>
            </w:pPr>
          </w:p>
          <w:p w14:paraId="7C8AF56D">
            <w:pPr>
              <w:spacing w:line="244" w:lineRule="auto"/>
              <w:rPr>
                <w:rFonts w:ascii="Arial"/>
                <w:sz w:val="21"/>
              </w:rPr>
            </w:pPr>
          </w:p>
          <w:p w14:paraId="2C3596D9">
            <w:pPr>
              <w:spacing w:line="244" w:lineRule="auto"/>
              <w:rPr>
                <w:rFonts w:ascii="Arial"/>
                <w:sz w:val="21"/>
              </w:rPr>
            </w:pPr>
          </w:p>
          <w:p w14:paraId="10574C40">
            <w:pPr>
              <w:spacing w:line="244" w:lineRule="auto"/>
              <w:rPr>
                <w:rFonts w:ascii="Arial"/>
                <w:sz w:val="21"/>
              </w:rPr>
            </w:pPr>
          </w:p>
          <w:p w14:paraId="21A48EBC">
            <w:pPr>
              <w:spacing w:line="244" w:lineRule="auto"/>
              <w:rPr>
                <w:rFonts w:ascii="Arial"/>
                <w:sz w:val="21"/>
              </w:rPr>
            </w:pPr>
          </w:p>
          <w:p w14:paraId="5C65BE1E">
            <w:pPr>
              <w:spacing w:line="245" w:lineRule="auto"/>
              <w:rPr>
                <w:rFonts w:ascii="Arial"/>
                <w:sz w:val="21"/>
              </w:rPr>
            </w:pPr>
          </w:p>
          <w:p w14:paraId="6326A395">
            <w:pPr>
              <w:spacing w:line="245" w:lineRule="auto"/>
              <w:rPr>
                <w:rFonts w:ascii="Arial"/>
                <w:sz w:val="21"/>
              </w:rPr>
            </w:pPr>
          </w:p>
          <w:p w14:paraId="72D9B019">
            <w:pPr>
              <w:pStyle w:val="6"/>
              <w:spacing w:before="68" w:line="221" w:lineRule="auto"/>
              <w:ind w:left="284"/>
            </w:pPr>
            <w:r>
              <w:rPr>
                <w:spacing w:val="-2"/>
              </w:rPr>
              <w:t>4.0分</w:t>
            </w:r>
          </w:p>
        </w:tc>
        <w:tc>
          <w:tcPr>
            <w:tcW w:w="1202" w:type="dxa"/>
            <w:vAlign w:val="top"/>
          </w:tcPr>
          <w:p w14:paraId="6557FFBD">
            <w:pPr>
              <w:pStyle w:val="6"/>
              <w:spacing w:before="123" w:line="238" w:lineRule="auto"/>
              <w:ind w:left="187" w:right="174"/>
            </w:pPr>
            <w:r>
              <w:rPr>
                <w:spacing w:val="-2"/>
              </w:rPr>
              <w:t>针对本项目的项目风险预测与防范，事故应急预案优劣程度。满</w:t>
            </w:r>
            <w:r>
              <w:rPr>
                <w:spacing w:val="-6"/>
              </w:rPr>
              <w:t>分4分，</w:t>
            </w:r>
            <w:r>
              <w:rPr>
                <w:spacing w:val="-2"/>
              </w:rPr>
              <w:t>其它酌情</w:t>
            </w:r>
            <w:r>
              <w:rPr>
                <w:spacing w:val="-10"/>
              </w:rPr>
              <w:t>减分。。</w:t>
            </w:r>
          </w:p>
          <w:p w14:paraId="13A467E7">
            <w:pPr>
              <w:pStyle w:val="6"/>
              <w:spacing w:before="20" w:line="236" w:lineRule="auto"/>
              <w:ind w:left="190" w:right="174" w:firstLine="3"/>
            </w:pPr>
            <w:r>
              <w:rPr>
                <w:spacing w:val="-4"/>
              </w:rPr>
              <w:t>（打分范</w:t>
            </w:r>
            <w:r>
              <w:rPr>
                <w:spacing w:val="1"/>
              </w:rPr>
              <w:t>围2.4-4</w:t>
            </w:r>
            <w:r>
              <w:rPr>
                <w:spacing w:val="-3"/>
              </w:rPr>
              <w:t>分，未提</w:t>
            </w:r>
            <w:r>
              <w:rPr>
                <w:spacing w:val="32"/>
              </w:rPr>
              <w:t>供不得</w:t>
            </w:r>
            <w:r>
              <w:rPr>
                <w:spacing w:val="27"/>
              </w:rPr>
              <w:t>分。）</w:t>
            </w:r>
          </w:p>
        </w:tc>
      </w:tr>
      <w:tr w14:paraId="608EE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5" w:hRule="atLeast"/>
        </w:trPr>
        <w:tc>
          <w:tcPr>
            <w:tcW w:w="1053" w:type="dxa"/>
            <w:vMerge w:val="restart"/>
            <w:tcBorders>
              <w:bottom w:val="nil"/>
            </w:tcBorders>
            <w:vAlign w:val="top"/>
          </w:tcPr>
          <w:p w14:paraId="3C98168E">
            <w:pPr>
              <w:spacing w:line="255" w:lineRule="auto"/>
              <w:rPr>
                <w:rFonts w:ascii="Arial"/>
                <w:sz w:val="21"/>
              </w:rPr>
            </w:pPr>
          </w:p>
          <w:p w14:paraId="42B3CF4C">
            <w:pPr>
              <w:spacing w:line="255" w:lineRule="auto"/>
              <w:rPr>
                <w:rFonts w:ascii="Arial"/>
                <w:sz w:val="21"/>
              </w:rPr>
            </w:pPr>
          </w:p>
          <w:p w14:paraId="0C74DE13">
            <w:pPr>
              <w:spacing w:line="255" w:lineRule="auto"/>
              <w:rPr>
                <w:rFonts w:ascii="Arial"/>
                <w:sz w:val="21"/>
              </w:rPr>
            </w:pPr>
          </w:p>
          <w:p w14:paraId="311C4291">
            <w:pPr>
              <w:spacing w:line="256" w:lineRule="auto"/>
              <w:rPr>
                <w:rFonts w:ascii="Arial"/>
                <w:sz w:val="21"/>
              </w:rPr>
            </w:pPr>
          </w:p>
          <w:p w14:paraId="044C7DF2">
            <w:pPr>
              <w:spacing w:line="256" w:lineRule="auto"/>
              <w:rPr>
                <w:rFonts w:ascii="Arial"/>
                <w:sz w:val="21"/>
              </w:rPr>
            </w:pPr>
          </w:p>
          <w:p w14:paraId="0B32AA6D">
            <w:pPr>
              <w:spacing w:line="256" w:lineRule="auto"/>
              <w:rPr>
                <w:rFonts w:ascii="Arial"/>
                <w:sz w:val="21"/>
              </w:rPr>
            </w:pPr>
          </w:p>
          <w:p w14:paraId="5356A7A4">
            <w:pPr>
              <w:spacing w:line="256" w:lineRule="auto"/>
              <w:rPr>
                <w:rFonts w:ascii="Arial"/>
                <w:sz w:val="21"/>
              </w:rPr>
            </w:pPr>
          </w:p>
          <w:p w14:paraId="103F6CBD">
            <w:pPr>
              <w:spacing w:line="256" w:lineRule="auto"/>
              <w:rPr>
                <w:rFonts w:ascii="Arial"/>
                <w:sz w:val="21"/>
              </w:rPr>
            </w:pPr>
          </w:p>
          <w:p w14:paraId="377089C2">
            <w:pPr>
              <w:spacing w:line="256" w:lineRule="auto"/>
              <w:rPr>
                <w:rFonts w:ascii="Arial"/>
                <w:sz w:val="21"/>
              </w:rPr>
            </w:pPr>
          </w:p>
          <w:p w14:paraId="1BF00D0D">
            <w:pPr>
              <w:spacing w:line="256" w:lineRule="auto"/>
              <w:rPr>
                <w:rFonts w:ascii="Arial"/>
                <w:sz w:val="21"/>
              </w:rPr>
            </w:pPr>
          </w:p>
          <w:p w14:paraId="610C4D0D">
            <w:pPr>
              <w:spacing w:line="256" w:lineRule="auto"/>
              <w:rPr>
                <w:rFonts w:ascii="Arial"/>
                <w:sz w:val="21"/>
              </w:rPr>
            </w:pPr>
          </w:p>
          <w:p w14:paraId="59434DA9">
            <w:pPr>
              <w:spacing w:line="256" w:lineRule="auto"/>
              <w:rPr>
                <w:rFonts w:ascii="Arial"/>
                <w:sz w:val="21"/>
              </w:rPr>
            </w:pPr>
          </w:p>
          <w:p w14:paraId="40220DFB">
            <w:pPr>
              <w:spacing w:line="256" w:lineRule="auto"/>
              <w:rPr>
                <w:rFonts w:ascii="Arial"/>
                <w:sz w:val="21"/>
              </w:rPr>
            </w:pPr>
          </w:p>
          <w:p w14:paraId="284ABA18">
            <w:pPr>
              <w:spacing w:line="256" w:lineRule="auto"/>
              <w:rPr>
                <w:rFonts w:ascii="Arial"/>
                <w:sz w:val="21"/>
              </w:rPr>
            </w:pPr>
          </w:p>
          <w:p w14:paraId="161265AD">
            <w:pPr>
              <w:pStyle w:val="6"/>
              <w:spacing w:before="69"/>
              <w:ind w:left="272" w:right="260" w:hanging="3"/>
            </w:pPr>
            <w:r>
              <w:rPr>
                <w:spacing w:val="-2"/>
              </w:rPr>
              <w:t>2.2.2</w:t>
            </w:r>
            <w:r>
              <w:rPr>
                <w:spacing w:val="-5"/>
              </w:rPr>
              <w:t>（2）</w:t>
            </w:r>
          </w:p>
        </w:tc>
        <w:tc>
          <w:tcPr>
            <w:tcW w:w="1740" w:type="dxa"/>
            <w:vMerge w:val="restart"/>
            <w:tcBorders>
              <w:bottom w:val="nil"/>
            </w:tcBorders>
            <w:vAlign w:val="top"/>
          </w:tcPr>
          <w:p w14:paraId="38883ECA">
            <w:pPr>
              <w:spacing w:line="245" w:lineRule="auto"/>
              <w:rPr>
                <w:rFonts w:ascii="Arial"/>
                <w:sz w:val="21"/>
              </w:rPr>
            </w:pPr>
          </w:p>
          <w:p w14:paraId="3E6E5B20">
            <w:pPr>
              <w:spacing w:line="245" w:lineRule="auto"/>
              <w:rPr>
                <w:rFonts w:ascii="Arial"/>
                <w:sz w:val="21"/>
              </w:rPr>
            </w:pPr>
          </w:p>
          <w:p w14:paraId="60D64490">
            <w:pPr>
              <w:spacing w:line="245" w:lineRule="auto"/>
              <w:rPr>
                <w:rFonts w:ascii="Arial"/>
                <w:sz w:val="21"/>
              </w:rPr>
            </w:pPr>
          </w:p>
          <w:p w14:paraId="512684F1">
            <w:pPr>
              <w:spacing w:line="245" w:lineRule="auto"/>
              <w:rPr>
                <w:rFonts w:ascii="Arial"/>
                <w:sz w:val="21"/>
              </w:rPr>
            </w:pPr>
          </w:p>
          <w:p w14:paraId="7D3B72E6">
            <w:pPr>
              <w:spacing w:line="245" w:lineRule="auto"/>
              <w:rPr>
                <w:rFonts w:ascii="Arial"/>
                <w:sz w:val="21"/>
              </w:rPr>
            </w:pPr>
          </w:p>
          <w:p w14:paraId="19FF3881">
            <w:pPr>
              <w:spacing w:line="245" w:lineRule="auto"/>
              <w:rPr>
                <w:rFonts w:ascii="Arial"/>
                <w:sz w:val="21"/>
              </w:rPr>
            </w:pPr>
          </w:p>
          <w:p w14:paraId="27EBA6E3">
            <w:pPr>
              <w:spacing w:line="245" w:lineRule="auto"/>
              <w:rPr>
                <w:rFonts w:ascii="Arial"/>
                <w:sz w:val="21"/>
              </w:rPr>
            </w:pPr>
          </w:p>
          <w:p w14:paraId="5BDD9B7B">
            <w:pPr>
              <w:spacing w:line="245" w:lineRule="auto"/>
              <w:rPr>
                <w:rFonts w:ascii="Arial"/>
                <w:sz w:val="21"/>
              </w:rPr>
            </w:pPr>
          </w:p>
          <w:p w14:paraId="7BDD3290">
            <w:pPr>
              <w:spacing w:line="245" w:lineRule="auto"/>
              <w:rPr>
                <w:rFonts w:ascii="Arial"/>
                <w:sz w:val="21"/>
              </w:rPr>
            </w:pPr>
          </w:p>
          <w:p w14:paraId="45BD0E7E">
            <w:pPr>
              <w:spacing w:line="245" w:lineRule="auto"/>
              <w:rPr>
                <w:rFonts w:ascii="Arial"/>
                <w:sz w:val="21"/>
              </w:rPr>
            </w:pPr>
          </w:p>
          <w:p w14:paraId="1348AFF0">
            <w:pPr>
              <w:spacing w:line="246" w:lineRule="auto"/>
              <w:rPr>
                <w:rFonts w:ascii="Arial"/>
                <w:sz w:val="21"/>
              </w:rPr>
            </w:pPr>
          </w:p>
          <w:p w14:paraId="1A816682">
            <w:pPr>
              <w:spacing w:line="246" w:lineRule="auto"/>
              <w:rPr>
                <w:rFonts w:ascii="Arial"/>
                <w:sz w:val="21"/>
              </w:rPr>
            </w:pPr>
          </w:p>
          <w:p w14:paraId="5513E8B5">
            <w:pPr>
              <w:spacing w:line="246" w:lineRule="auto"/>
              <w:rPr>
                <w:rFonts w:ascii="Arial"/>
                <w:sz w:val="21"/>
              </w:rPr>
            </w:pPr>
          </w:p>
          <w:p w14:paraId="774FFF40">
            <w:pPr>
              <w:spacing w:line="246" w:lineRule="auto"/>
              <w:rPr>
                <w:rFonts w:ascii="Arial"/>
                <w:sz w:val="21"/>
              </w:rPr>
            </w:pPr>
          </w:p>
          <w:p w14:paraId="1B5F8970">
            <w:pPr>
              <w:spacing w:line="246" w:lineRule="auto"/>
              <w:rPr>
                <w:rFonts w:ascii="Arial"/>
                <w:sz w:val="21"/>
              </w:rPr>
            </w:pPr>
          </w:p>
          <w:p w14:paraId="718E92BA">
            <w:pPr>
              <w:pStyle w:val="6"/>
              <w:spacing w:before="68" w:line="222" w:lineRule="auto"/>
              <w:ind w:left="454"/>
            </w:pPr>
            <w:r>
              <w:rPr>
                <w:spacing w:val="-2"/>
              </w:rPr>
              <w:t>主要人员</w:t>
            </w:r>
          </w:p>
        </w:tc>
        <w:tc>
          <w:tcPr>
            <w:tcW w:w="1134" w:type="dxa"/>
            <w:vMerge w:val="restart"/>
            <w:tcBorders>
              <w:bottom w:val="nil"/>
            </w:tcBorders>
            <w:vAlign w:val="top"/>
          </w:tcPr>
          <w:p w14:paraId="3640D823">
            <w:pPr>
              <w:spacing w:line="245" w:lineRule="auto"/>
              <w:rPr>
                <w:rFonts w:ascii="Arial"/>
                <w:sz w:val="21"/>
              </w:rPr>
            </w:pPr>
          </w:p>
          <w:p w14:paraId="36E13EB4">
            <w:pPr>
              <w:spacing w:line="245" w:lineRule="auto"/>
              <w:rPr>
                <w:rFonts w:ascii="Arial"/>
                <w:sz w:val="21"/>
              </w:rPr>
            </w:pPr>
          </w:p>
          <w:p w14:paraId="071E84FA">
            <w:pPr>
              <w:spacing w:line="245" w:lineRule="auto"/>
              <w:rPr>
                <w:rFonts w:ascii="Arial"/>
                <w:sz w:val="21"/>
              </w:rPr>
            </w:pPr>
          </w:p>
          <w:p w14:paraId="4ABD013E">
            <w:pPr>
              <w:spacing w:line="245" w:lineRule="auto"/>
              <w:rPr>
                <w:rFonts w:ascii="Arial"/>
                <w:sz w:val="21"/>
              </w:rPr>
            </w:pPr>
          </w:p>
          <w:p w14:paraId="47BA9D9E">
            <w:pPr>
              <w:spacing w:line="245" w:lineRule="auto"/>
              <w:rPr>
                <w:rFonts w:ascii="Arial"/>
                <w:sz w:val="21"/>
              </w:rPr>
            </w:pPr>
          </w:p>
          <w:p w14:paraId="6F593C32">
            <w:pPr>
              <w:spacing w:line="245" w:lineRule="auto"/>
              <w:rPr>
                <w:rFonts w:ascii="Arial"/>
                <w:sz w:val="21"/>
              </w:rPr>
            </w:pPr>
          </w:p>
          <w:p w14:paraId="2E2165AB">
            <w:pPr>
              <w:spacing w:line="245" w:lineRule="auto"/>
              <w:rPr>
                <w:rFonts w:ascii="Arial"/>
                <w:sz w:val="21"/>
              </w:rPr>
            </w:pPr>
          </w:p>
          <w:p w14:paraId="3F63F092">
            <w:pPr>
              <w:spacing w:line="245" w:lineRule="auto"/>
              <w:rPr>
                <w:rFonts w:ascii="Arial"/>
                <w:sz w:val="21"/>
              </w:rPr>
            </w:pPr>
          </w:p>
          <w:p w14:paraId="19D8794B">
            <w:pPr>
              <w:spacing w:line="245" w:lineRule="auto"/>
              <w:rPr>
                <w:rFonts w:ascii="Arial"/>
                <w:sz w:val="21"/>
              </w:rPr>
            </w:pPr>
          </w:p>
          <w:p w14:paraId="3C6DA875">
            <w:pPr>
              <w:spacing w:line="245" w:lineRule="auto"/>
              <w:rPr>
                <w:rFonts w:ascii="Arial"/>
                <w:sz w:val="21"/>
              </w:rPr>
            </w:pPr>
          </w:p>
          <w:p w14:paraId="254D5E11">
            <w:pPr>
              <w:spacing w:line="246" w:lineRule="auto"/>
              <w:rPr>
                <w:rFonts w:ascii="Arial"/>
                <w:sz w:val="21"/>
              </w:rPr>
            </w:pPr>
          </w:p>
          <w:p w14:paraId="4B015706">
            <w:pPr>
              <w:spacing w:line="246" w:lineRule="auto"/>
              <w:rPr>
                <w:rFonts w:ascii="Arial"/>
                <w:sz w:val="21"/>
              </w:rPr>
            </w:pPr>
          </w:p>
          <w:p w14:paraId="388AD77D">
            <w:pPr>
              <w:spacing w:line="246" w:lineRule="auto"/>
              <w:rPr>
                <w:rFonts w:ascii="Arial"/>
                <w:sz w:val="21"/>
              </w:rPr>
            </w:pPr>
          </w:p>
          <w:p w14:paraId="2A03F28B">
            <w:pPr>
              <w:spacing w:line="246" w:lineRule="auto"/>
              <w:rPr>
                <w:rFonts w:ascii="Arial"/>
                <w:sz w:val="21"/>
              </w:rPr>
            </w:pPr>
          </w:p>
          <w:p w14:paraId="0CCDA4C2">
            <w:pPr>
              <w:spacing w:line="246" w:lineRule="auto"/>
              <w:rPr>
                <w:rFonts w:ascii="Arial"/>
                <w:sz w:val="21"/>
              </w:rPr>
            </w:pPr>
          </w:p>
          <w:p w14:paraId="56C7434F">
            <w:pPr>
              <w:pStyle w:val="6"/>
              <w:spacing w:before="68" w:line="221" w:lineRule="auto"/>
              <w:ind w:left="232"/>
            </w:pPr>
            <w:r>
              <w:rPr>
                <w:spacing w:val="-2"/>
              </w:rPr>
              <w:t>25.0分</w:t>
            </w:r>
          </w:p>
        </w:tc>
        <w:tc>
          <w:tcPr>
            <w:tcW w:w="2269" w:type="dxa"/>
            <w:vAlign w:val="top"/>
          </w:tcPr>
          <w:p w14:paraId="4ED05AB5">
            <w:pPr>
              <w:spacing w:line="244" w:lineRule="auto"/>
              <w:rPr>
                <w:rFonts w:ascii="Arial"/>
                <w:sz w:val="21"/>
              </w:rPr>
            </w:pPr>
          </w:p>
          <w:p w14:paraId="0CD1AC1E">
            <w:pPr>
              <w:spacing w:line="244" w:lineRule="auto"/>
              <w:rPr>
                <w:rFonts w:ascii="Arial"/>
                <w:sz w:val="21"/>
              </w:rPr>
            </w:pPr>
          </w:p>
          <w:p w14:paraId="45048286">
            <w:pPr>
              <w:spacing w:line="244" w:lineRule="auto"/>
              <w:rPr>
                <w:rFonts w:ascii="Arial"/>
                <w:sz w:val="21"/>
              </w:rPr>
            </w:pPr>
          </w:p>
          <w:p w14:paraId="50BD0C77">
            <w:pPr>
              <w:spacing w:line="244" w:lineRule="auto"/>
              <w:rPr>
                <w:rFonts w:ascii="Arial"/>
                <w:sz w:val="21"/>
              </w:rPr>
            </w:pPr>
          </w:p>
          <w:p w14:paraId="4E19619E">
            <w:pPr>
              <w:spacing w:line="244" w:lineRule="auto"/>
              <w:rPr>
                <w:rFonts w:ascii="Arial"/>
                <w:sz w:val="21"/>
              </w:rPr>
            </w:pPr>
          </w:p>
          <w:p w14:paraId="2A8BB56F">
            <w:pPr>
              <w:spacing w:line="244" w:lineRule="auto"/>
              <w:rPr>
                <w:rFonts w:ascii="Arial"/>
                <w:sz w:val="21"/>
              </w:rPr>
            </w:pPr>
          </w:p>
          <w:p w14:paraId="752F3811">
            <w:pPr>
              <w:spacing w:line="244" w:lineRule="auto"/>
              <w:rPr>
                <w:rFonts w:ascii="Arial"/>
                <w:sz w:val="21"/>
              </w:rPr>
            </w:pPr>
          </w:p>
          <w:p w14:paraId="4CAFDF46">
            <w:pPr>
              <w:spacing w:line="244" w:lineRule="auto"/>
              <w:rPr>
                <w:rFonts w:ascii="Arial"/>
                <w:sz w:val="21"/>
              </w:rPr>
            </w:pPr>
          </w:p>
          <w:p w14:paraId="39E9A1FF">
            <w:pPr>
              <w:spacing w:line="244" w:lineRule="auto"/>
              <w:rPr>
                <w:rFonts w:ascii="Arial"/>
                <w:sz w:val="21"/>
              </w:rPr>
            </w:pPr>
          </w:p>
          <w:p w14:paraId="1AB393E9">
            <w:pPr>
              <w:spacing w:line="244" w:lineRule="auto"/>
              <w:rPr>
                <w:rFonts w:ascii="Arial"/>
                <w:sz w:val="21"/>
              </w:rPr>
            </w:pPr>
          </w:p>
          <w:p w14:paraId="5E26C669">
            <w:pPr>
              <w:spacing w:line="244" w:lineRule="auto"/>
              <w:rPr>
                <w:rFonts w:ascii="Arial"/>
                <w:sz w:val="21"/>
              </w:rPr>
            </w:pPr>
          </w:p>
          <w:p w14:paraId="7FB9758F">
            <w:pPr>
              <w:spacing w:line="245" w:lineRule="auto"/>
              <w:rPr>
                <w:rFonts w:ascii="Arial"/>
                <w:sz w:val="21"/>
              </w:rPr>
            </w:pPr>
          </w:p>
          <w:p w14:paraId="6AB7BB9A">
            <w:pPr>
              <w:spacing w:line="245" w:lineRule="auto"/>
              <w:rPr>
                <w:rFonts w:ascii="Arial"/>
                <w:sz w:val="21"/>
              </w:rPr>
            </w:pPr>
          </w:p>
          <w:p w14:paraId="6D33E30F">
            <w:pPr>
              <w:pStyle w:val="6"/>
              <w:spacing w:before="69" w:line="221" w:lineRule="auto"/>
              <w:ind w:left="724"/>
            </w:pPr>
            <w:r>
              <w:rPr>
                <w:spacing w:val="-3"/>
              </w:rPr>
              <w:t>项目经理</w:t>
            </w:r>
          </w:p>
        </w:tc>
        <w:tc>
          <w:tcPr>
            <w:tcW w:w="1135" w:type="dxa"/>
            <w:vAlign w:val="top"/>
          </w:tcPr>
          <w:p w14:paraId="76026B9D">
            <w:pPr>
              <w:spacing w:line="244" w:lineRule="auto"/>
              <w:rPr>
                <w:rFonts w:ascii="Arial"/>
                <w:sz w:val="21"/>
              </w:rPr>
            </w:pPr>
          </w:p>
          <w:p w14:paraId="5B59CAA4">
            <w:pPr>
              <w:spacing w:line="244" w:lineRule="auto"/>
              <w:rPr>
                <w:rFonts w:ascii="Arial"/>
                <w:sz w:val="21"/>
              </w:rPr>
            </w:pPr>
          </w:p>
          <w:p w14:paraId="69CEB9F5">
            <w:pPr>
              <w:spacing w:line="244" w:lineRule="auto"/>
              <w:rPr>
                <w:rFonts w:ascii="Arial"/>
                <w:sz w:val="21"/>
              </w:rPr>
            </w:pPr>
          </w:p>
          <w:p w14:paraId="31FE7DBA">
            <w:pPr>
              <w:spacing w:line="244" w:lineRule="auto"/>
              <w:rPr>
                <w:rFonts w:ascii="Arial"/>
                <w:sz w:val="21"/>
              </w:rPr>
            </w:pPr>
          </w:p>
          <w:p w14:paraId="0AA6289B">
            <w:pPr>
              <w:spacing w:line="244" w:lineRule="auto"/>
              <w:rPr>
                <w:rFonts w:ascii="Arial"/>
                <w:sz w:val="21"/>
              </w:rPr>
            </w:pPr>
          </w:p>
          <w:p w14:paraId="7FCA0CBA">
            <w:pPr>
              <w:spacing w:line="244" w:lineRule="auto"/>
              <w:rPr>
                <w:rFonts w:ascii="Arial"/>
                <w:sz w:val="21"/>
              </w:rPr>
            </w:pPr>
          </w:p>
          <w:p w14:paraId="1EAF044F">
            <w:pPr>
              <w:spacing w:line="244" w:lineRule="auto"/>
              <w:rPr>
                <w:rFonts w:ascii="Arial"/>
                <w:sz w:val="21"/>
              </w:rPr>
            </w:pPr>
          </w:p>
          <w:p w14:paraId="2B9A2D7B">
            <w:pPr>
              <w:spacing w:line="244" w:lineRule="auto"/>
              <w:rPr>
                <w:rFonts w:ascii="Arial"/>
                <w:sz w:val="21"/>
              </w:rPr>
            </w:pPr>
          </w:p>
          <w:p w14:paraId="5B62C3B0">
            <w:pPr>
              <w:spacing w:line="244" w:lineRule="auto"/>
              <w:rPr>
                <w:rFonts w:ascii="Arial"/>
                <w:sz w:val="21"/>
              </w:rPr>
            </w:pPr>
          </w:p>
          <w:p w14:paraId="49682A7B">
            <w:pPr>
              <w:spacing w:line="244" w:lineRule="auto"/>
              <w:rPr>
                <w:rFonts w:ascii="Arial"/>
                <w:sz w:val="21"/>
              </w:rPr>
            </w:pPr>
          </w:p>
          <w:p w14:paraId="7BC016DE">
            <w:pPr>
              <w:spacing w:line="244" w:lineRule="auto"/>
              <w:rPr>
                <w:rFonts w:ascii="Arial"/>
                <w:sz w:val="21"/>
              </w:rPr>
            </w:pPr>
          </w:p>
          <w:p w14:paraId="537A195A">
            <w:pPr>
              <w:spacing w:line="245" w:lineRule="auto"/>
              <w:rPr>
                <w:rFonts w:ascii="Arial"/>
                <w:sz w:val="21"/>
              </w:rPr>
            </w:pPr>
          </w:p>
          <w:p w14:paraId="432132F5">
            <w:pPr>
              <w:spacing w:line="245" w:lineRule="auto"/>
              <w:rPr>
                <w:rFonts w:ascii="Arial"/>
                <w:sz w:val="21"/>
              </w:rPr>
            </w:pPr>
          </w:p>
          <w:p w14:paraId="43BFC24F">
            <w:pPr>
              <w:pStyle w:val="6"/>
              <w:spacing w:before="69" w:line="221" w:lineRule="auto"/>
              <w:ind w:left="248"/>
            </w:pPr>
            <w:r>
              <w:rPr>
                <w:spacing w:val="-5"/>
              </w:rPr>
              <w:t>15.0分</w:t>
            </w:r>
          </w:p>
        </w:tc>
        <w:tc>
          <w:tcPr>
            <w:tcW w:w="1202" w:type="dxa"/>
            <w:vAlign w:val="top"/>
          </w:tcPr>
          <w:p w14:paraId="3CBFAB1A">
            <w:pPr>
              <w:pStyle w:val="6"/>
              <w:spacing w:before="130" w:line="233" w:lineRule="auto"/>
              <w:ind w:left="190" w:right="174" w:hanging="2"/>
              <w:jc w:val="both"/>
            </w:pPr>
            <w:r>
              <w:rPr>
                <w:spacing w:val="-2"/>
              </w:rPr>
              <w:t>满足资格</w:t>
            </w:r>
            <w:r>
              <w:rPr>
                <w:spacing w:val="-3"/>
              </w:rPr>
              <w:t>审查强制性资格条</w:t>
            </w:r>
          </w:p>
          <w:p w14:paraId="3DEEFC9E">
            <w:pPr>
              <w:pStyle w:val="6"/>
              <w:spacing w:before="11" w:line="239" w:lineRule="auto"/>
              <w:ind w:left="164" w:right="148" w:firstLine="126"/>
            </w:pPr>
            <w:r>
              <w:rPr>
                <w:spacing w:val="-2"/>
              </w:rPr>
              <w:t>件要求</w:t>
            </w:r>
            <w:r>
              <w:rPr>
                <w:spacing w:val="-5"/>
              </w:rPr>
              <w:t>的，得9</w:t>
            </w:r>
            <w:r>
              <w:rPr>
                <w:spacing w:val="7"/>
              </w:rPr>
              <w:t>分。近5</w:t>
            </w:r>
            <w:r>
              <w:rPr>
                <w:spacing w:val="4"/>
              </w:rPr>
              <w:t>年（指在岗截至日</w:t>
            </w:r>
            <w:r>
              <w:rPr>
                <w:spacing w:val="-4"/>
              </w:rPr>
              <w:t>期为2019年1月1</w:t>
            </w:r>
            <w:r>
              <w:rPr>
                <w:spacing w:val="4"/>
              </w:rPr>
              <w:t>日至投标文件递交</w:t>
            </w:r>
            <w:r>
              <w:t>截止日）</w:t>
            </w:r>
            <w:r>
              <w:rPr>
                <w:spacing w:val="4"/>
              </w:rPr>
              <w:t>内，增加</w:t>
            </w:r>
            <w:r>
              <w:rPr>
                <w:spacing w:val="8"/>
              </w:rPr>
              <w:t>1个担任</w:t>
            </w:r>
            <w:r>
              <w:rPr>
                <w:spacing w:val="4"/>
              </w:rPr>
              <w:t>过二级及以上公路路面施工项目的项目经理业绩，且工程验收质量合格，</w:t>
            </w:r>
            <w:r>
              <w:rPr>
                <w:spacing w:val="-4"/>
              </w:rPr>
              <w:t>加6分。</w:t>
            </w:r>
          </w:p>
        </w:tc>
      </w:tr>
      <w:tr w14:paraId="6C0A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053" w:type="dxa"/>
            <w:vMerge w:val="continue"/>
            <w:tcBorders>
              <w:top w:val="nil"/>
            </w:tcBorders>
            <w:vAlign w:val="top"/>
          </w:tcPr>
          <w:p w14:paraId="4480D0A7">
            <w:pPr>
              <w:rPr>
                <w:rFonts w:ascii="Arial"/>
                <w:sz w:val="21"/>
              </w:rPr>
            </w:pPr>
          </w:p>
        </w:tc>
        <w:tc>
          <w:tcPr>
            <w:tcW w:w="1740" w:type="dxa"/>
            <w:vMerge w:val="continue"/>
            <w:tcBorders>
              <w:top w:val="nil"/>
            </w:tcBorders>
            <w:vAlign w:val="top"/>
          </w:tcPr>
          <w:p w14:paraId="6E74FE35">
            <w:pPr>
              <w:rPr>
                <w:rFonts w:ascii="Arial"/>
                <w:sz w:val="21"/>
              </w:rPr>
            </w:pPr>
          </w:p>
        </w:tc>
        <w:tc>
          <w:tcPr>
            <w:tcW w:w="1134" w:type="dxa"/>
            <w:vMerge w:val="continue"/>
            <w:tcBorders>
              <w:top w:val="nil"/>
            </w:tcBorders>
            <w:vAlign w:val="top"/>
          </w:tcPr>
          <w:p w14:paraId="1E923A6C">
            <w:pPr>
              <w:rPr>
                <w:rFonts w:ascii="Arial"/>
                <w:sz w:val="21"/>
              </w:rPr>
            </w:pPr>
          </w:p>
        </w:tc>
        <w:tc>
          <w:tcPr>
            <w:tcW w:w="2269" w:type="dxa"/>
            <w:vAlign w:val="top"/>
          </w:tcPr>
          <w:p w14:paraId="4B428B58">
            <w:pPr>
              <w:spacing w:line="333" w:lineRule="auto"/>
              <w:rPr>
                <w:rFonts w:ascii="Arial"/>
                <w:sz w:val="21"/>
              </w:rPr>
            </w:pPr>
          </w:p>
          <w:p w14:paraId="49409AB3">
            <w:pPr>
              <w:pStyle w:val="6"/>
              <w:spacing w:before="68" w:line="221" w:lineRule="auto"/>
              <w:ind w:left="724"/>
            </w:pPr>
            <w:r>
              <w:rPr>
                <w:spacing w:val="-3"/>
              </w:rPr>
              <w:t>项目总工</w:t>
            </w:r>
          </w:p>
        </w:tc>
        <w:tc>
          <w:tcPr>
            <w:tcW w:w="1135" w:type="dxa"/>
            <w:vAlign w:val="top"/>
          </w:tcPr>
          <w:p w14:paraId="17FDBABB">
            <w:pPr>
              <w:spacing w:line="333" w:lineRule="auto"/>
              <w:rPr>
                <w:rFonts w:ascii="Arial"/>
                <w:sz w:val="21"/>
              </w:rPr>
            </w:pPr>
          </w:p>
          <w:p w14:paraId="673CCAC3">
            <w:pPr>
              <w:pStyle w:val="6"/>
              <w:spacing w:before="68" w:line="221" w:lineRule="auto"/>
              <w:ind w:left="248"/>
            </w:pPr>
            <w:r>
              <w:rPr>
                <w:spacing w:val="-5"/>
              </w:rPr>
              <w:t>10.0分</w:t>
            </w:r>
          </w:p>
        </w:tc>
        <w:tc>
          <w:tcPr>
            <w:tcW w:w="1202" w:type="dxa"/>
            <w:vAlign w:val="top"/>
          </w:tcPr>
          <w:p w14:paraId="3DB3209A">
            <w:pPr>
              <w:pStyle w:val="6"/>
              <w:spacing w:before="130" w:line="233" w:lineRule="auto"/>
              <w:ind w:left="190" w:right="174" w:hanging="2"/>
              <w:jc w:val="both"/>
            </w:pPr>
            <w:r>
              <w:rPr>
                <w:spacing w:val="-2"/>
              </w:rPr>
              <w:t>满足资格</w:t>
            </w:r>
            <w:r>
              <w:rPr>
                <w:spacing w:val="-3"/>
              </w:rPr>
              <w:t>审查强制性资格条</w:t>
            </w:r>
          </w:p>
        </w:tc>
      </w:tr>
    </w:tbl>
    <w:p w14:paraId="3F5F4D65">
      <w:pPr>
        <w:pStyle w:val="2"/>
      </w:pPr>
    </w:p>
    <w:p w14:paraId="033D3299">
      <w:pPr>
        <w:sectPr>
          <w:footerReference r:id="rId12" w:type="default"/>
          <w:pgSz w:w="11912" w:h="16851"/>
          <w:pgMar w:top="400" w:right="1685" w:bottom="1025" w:left="1687" w:header="0" w:footer="861" w:gutter="0"/>
          <w:cols w:space="720" w:num="1"/>
        </w:sectPr>
      </w:pPr>
    </w:p>
    <w:p w14:paraId="3B6AF8B6">
      <w:pPr>
        <w:spacing w:before="19"/>
      </w:pPr>
    </w:p>
    <w:p w14:paraId="7C2E8D8A">
      <w:pPr>
        <w:spacing w:before="19"/>
      </w:pPr>
    </w:p>
    <w:p w14:paraId="5723B23D">
      <w:pPr>
        <w:spacing w:before="18"/>
      </w:pPr>
    </w:p>
    <w:p w14:paraId="333CC392">
      <w:pPr>
        <w:spacing w:before="18"/>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604"/>
        <w:gridCol w:w="1135"/>
        <w:gridCol w:w="1135"/>
        <w:gridCol w:w="2269"/>
        <w:gridCol w:w="1135"/>
        <w:gridCol w:w="1202"/>
      </w:tblGrid>
      <w:tr w14:paraId="31D54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7" w:hRule="atLeast"/>
        </w:trPr>
        <w:tc>
          <w:tcPr>
            <w:tcW w:w="1053" w:type="dxa"/>
            <w:vAlign w:val="top"/>
          </w:tcPr>
          <w:p w14:paraId="4A3E0BDB">
            <w:pPr>
              <w:rPr>
                <w:rFonts w:ascii="Arial"/>
                <w:sz w:val="21"/>
              </w:rPr>
            </w:pPr>
          </w:p>
        </w:tc>
        <w:tc>
          <w:tcPr>
            <w:tcW w:w="1739" w:type="dxa"/>
            <w:gridSpan w:val="2"/>
            <w:vAlign w:val="top"/>
          </w:tcPr>
          <w:p w14:paraId="411A1A0A">
            <w:pPr>
              <w:rPr>
                <w:rFonts w:ascii="Arial"/>
                <w:sz w:val="21"/>
              </w:rPr>
            </w:pPr>
          </w:p>
        </w:tc>
        <w:tc>
          <w:tcPr>
            <w:tcW w:w="1135" w:type="dxa"/>
            <w:vAlign w:val="top"/>
          </w:tcPr>
          <w:p w14:paraId="099A276D">
            <w:pPr>
              <w:rPr>
                <w:rFonts w:ascii="Arial"/>
                <w:sz w:val="21"/>
              </w:rPr>
            </w:pPr>
          </w:p>
        </w:tc>
        <w:tc>
          <w:tcPr>
            <w:tcW w:w="2269" w:type="dxa"/>
            <w:vAlign w:val="top"/>
          </w:tcPr>
          <w:p w14:paraId="11371F06">
            <w:pPr>
              <w:rPr>
                <w:rFonts w:ascii="Arial"/>
                <w:sz w:val="21"/>
              </w:rPr>
            </w:pPr>
          </w:p>
        </w:tc>
        <w:tc>
          <w:tcPr>
            <w:tcW w:w="1135" w:type="dxa"/>
            <w:vAlign w:val="top"/>
          </w:tcPr>
          <w:p w14:paraId="42B42AD0">
            <w:pPr>
              <w:rPr>
                <w:rFonts w:ascii="Arial"/>
                <w:sz w:val="21"/>
              </w:rPr>
            </w:pPr>
          </w:p>
        </w:tc>
        <w:tc>
          <w:tcPr>
            <w:tcW w:w="1202" w:type="dxa"/>
            <w:vAlign w:val="top"/>
          </w:tcPr>
          <w:p w14:paraId="23AD185A">
            <w:pPr>
              <w:pStyle w:val="6"/>
              <w:spacing w:before="136" w:line="238" w:lineRule="auto"/>
              <w:ind w:left="164" w:right="148" w:firstLine="126"/>
            </w:pPr>
            <w:r>
              <w:rPr>
                <w:spacing w:val="-2"/>
              </w:rPr>
              <w:t>件要求</w:t>
            </w:r>
            <w:r>
              <w:rPr>
                <w:spacing w:val="-5"/>
              </w:rPr>
              <w:t>的，得6</w:t>
            </w:r>
            <w:r>
              <w:rPr>
                <w:spacing w:val="7"/>
              </w:rPr>
              <w:t>分。近5</w:t>
            </w:r>
            <w:r>
              <w:rPr>
                <w:spacing w:val="4"/>
              </w:rPr>
              <w:t>年（指在岗截至日</w:t>
            </w:r>
            <w:r>
              <w:rPr>
                <w:spacing w:val="-4"/>
              </w:rPr>
              <w:t>期为2019年1月1</w:t>
            </w:r>
            <w:r>
              <w:rPr>
                <w:spacing w:val="4"/>
              </w:rPr>
              <w:t>日至投标文件递交</w:t>
            </w:r>
            <w:r>
              <w:t>截止日）</w:t>
            </w:r>
            <w:r>
              <w:rPr>
                <w:spacing w:val="4"/>
              </w:rPr>
              <w:t>内，增加</w:t>
            </w:r>
            <w:r>
              <w:rPr>
                <w:spacing w:val="8"/>
              </w:rPr>
              <w:t>1个担任</w:t>
            </w:r>
            <w:r>
              <w:rPr>
                <w:spacing w:val="4"/>
              </w:rPr>
              <w:t>过二级及以上公路路面施工项目的项</w:t>
            </w:r>
          </w:p>
          <w:p w14:paraId="4034F255">
            <w:pPr>
              <w:pStyle w:val="6"/>
              <w:spacing w:before="17" w:line="236" w:lineRule="auto"/>
              <w:ind w:left="187" w:right="174" w:firstLine="144"/>
            </w:pPr>
            <w:r>
              <w:rPr>
                <w:spacing w:val="-15"/>
              </w:rPr>
              <w:t>目总工</w:t>
            </w:r>
            <w:r>
              <w:rPr>
                <w:spacing w:val="-2"/>
              </w:rPr>
              <w:t>（或技术</w:t>
            </w:r>
            <w:r>
              <w:rPr>
                <w:spacing w:val="-5"/>
              </w:rPr>
              <w:t>负责人）</w:t>
            </w:r>
            <w:r>
              <w:rPr>
                <w:spacing w:val="-2"/>
              </w:rPr>
              <w:t>业绩，且工程验收</w:t>
            </w:r>
          </w:p>
          <w:p w14:paraId="7C1D8A44">
            <w:pPr>
              <w:pStyle w:val="6"/>
              <w:spacing w:before="23" w:line="221" w:lineRule="auto"/>
              <w:ind w:left="292"/>
            </w:pPr>
            <w:r>
              <w:rPr>
                <w:spacing w:val="-2"/>
              </w:rPr>
              <w:t>质量合</w:t>
            </w:r>
          </w:p>
          <w:p w14:paraId="3BE42780">
            <w:pPr>
              <w:pStyle w:val="6"/>
              <w:spacing w:before="19" w:line="231" w:lineRule="auto"/>
              <w:ind w:left="398" w:right="201" w:hanging="184"/>
            </w:pPr>
            <w:r>
              <w:rPr>
                <w:spacing w:val="-4"/>
              </w:rPr>
              <w:t>格，加4</w:t>
            </w:r>
            <w:r>
              <w:rPr>
                <w:spacing w:val="-10"/>
              </w:rPr>
              <w:t>分。</w:t>
            </w:r>
          </w:p>
        </w:tc>
      </w:tr>
      <w:tr w14:paraId="60800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1053" w:type="dxa"/>
            <w:vMerge w:val="restart"/>
            <w:tcBorders>
              <w:bottom w:val="nil"/>
            </w:tcBorders>
            <w:vAlign w:val="top"/>
          </w:tcPr>
          <w:p w14:paraId="3A4C1E63">
            <w:pPr>
              <w:spacing w:line="254" w:lineRule="auto"/>
              <w:rPr>
                <w:rFonts w:ascii="Arial"/>
                <w:sz w:val="21"/>
              </w:rPr>
            </w:pPr>
          </w:p>
          <w:p w14:paraId="571565F7">
            <w:pPr>
              <w:spacing w:line="254" w:lineRule="auto"/>
              <w:rPr>
                <w:rFonts w:ascii="Arial"/>
                <w:sz w:val="21"/>
              </w:rPr>
            </w:pPr>
          </w:p>
          <w:p w14:paraId="0E993156">
            <w:pPr>
              <w:spacing w:line="254" w:lineRule="auto"/>
              <w:rPr>
                <w:rFonts w:ascii="Arial"/>
                <w:sz w:val="21"/>
              </w:rPr>
            </w:pPr>
          </w:p>
          <w:p w14:paraId="267ABBE0">
            <w:pPr>
              <w:spacing w:line="254" w:lineRule="auto"/>
              <w:rPr>
                <w:rFonts w:ascii="Arial"/>
                <w:sz w:val="21"/>
              </w:rPr>
            </w:pPr>
          </w:p>
          <w:p w14:paraId="1C857B37">
            <w:pPr>
              <w:spacing w:line="254" w:lineRule="auto"/>
              <w:rPr>
                <w:rFonts w:ascii="Arial"/>
                <w:sz w:val="21"/>
              </w:rPr>
            </w:pPr>
          </w:p>
          <w:p w14:paraId="75804DA2">
            <w:pPr>
              <w:spacing w:line="255" w:lineRule="auto"/>
              <w:rPr>
                <w:rFonts w:ascii="Arial"/>
                <w:sz w:val="21"/>
              </w:rPr>
            </w:pPr>
          </w:p>
          <w:p w14:paraId="71301BAE">
            <w:pPr>
              <w:spacing w:line="255" w:lineRule="auto"/>
              <w:rPr>
                <w:rFonts w:ascii="Arial"/>
                <w:sz w:val="21"/>
              </w:rPr>
            </w:pPr>
          </w:p>
          <w:p w14:paraId="442A7C5F">
            <w:pPr>
              <w:spacing w:line="255" w:lineRule="auto"/>
              <w:rPr>
                <w:rFonts w:ascii="Arial"/>
                <w:sz w:val="21"/>
              </w:rPr>
            </w:pPr>
          </w:p>
          <w:p w14:paraId="4298741D">
            <w:pPr>
              <w:spacing w:line="255" w:lineRule="auto"/>
              <w:rPr>
                <w:rFonts w:ascii="Arial"/>
                <w:sz w:val="21"/>
              </w:rPr>
            </w:pPr>
          </w:p>
          <w:p w14:paraId="1771FCA0">
            <w:pPr>
              <w:spacing w:line="255" w:lineRule="auto"/>
              <w:rPr>
                <w:rFonts w:ascii="Arial"/>
                <w:sz w:val="21"/>
              </w:rPr>
            </w:pPr>
          </w:p>
          <w:p w14:paraId="1105551A">
            <w:pPr>
              <w:spacing w:line="255" w:lineRule="auto"/>
              <w:rPr>
                <w:rFonts w:ascii="Arial"/>
                <w:sz w:val="21"/>
              </w:rPr>
            </w:pPr>
          </w:p>
          <w:p w14:paraId="058AF269">
            <w:pPr>
              <w:spacing w:line="255" w:lineRule="auto"/>
              <w:rPr>
                <w:rFonts w:ascii="Arial"/>
                <w:sz w:val="21"/>
              </w:rPr>
            </w:pPr>
          </w:p>
          <w:p w14:paraId="67086E36">
            <w:pPr>
              <w:spacing w:line="255" w:lineRule="auto"/>
              <w:rPr>
                <w:rFonts w:ascii="Arial"/>
                <w:sz w:val="21"/>
              </w:rPr>
            </w:pPr>
          </w:p>
          <w:p w14:paraId="1BE452CB">
            <w:pPr>
              <w:pStyle w:val="6"/>
              <w:spacing w:before="68" w:line="243" w:lineRule="auto"/>
              <w:ind w:left="272" w:right="260" w:hanging="3"/>
            </w:pPr>
            <w:r>
              <w:rPr>
                <w:spacing w:val="-2"/>
              </w:rPr>
              <w:t>2.2.2</w:t>
            </w:r>
            <w:r>
              <w:rPr>
                <w:spacing w:val="-5"/>
              </w:rPr>
              <w:t>（3）</w:t>
            </w:r>
          </w:p>
        </w:tc>
        <w:tc>
          <w:tcPr>
            <w:tcW w:w="604" w:type="dxa"/>
            <w:vMerge w:val="restart"/>
            <w:tcBorders>
              <w:bottom w:val="nil"/>
            </w:tcBorders>
            <w:textDirection w:val="tbRlV"/>
            <w:vAlign w:val="top"/>
          </w:tcPr>
          <w:p w14:paraId="65BD1D65">
            <w:pPr>
              <w:pStyle w:val="6"/>
              <w:spacing w:before="195" w:line="209" w:lineRule="auto"/>
              <w:ind w:left="3092"/>
            </w:pPr>
            <w:r>
              <w:rPr>
                <w:spacing w:val="46"/>
              </w:rPr>
              <w:t>其他因素</w:t>
            </w:r>
          </w:p>
        </w:tc>
        <w:tc>
          <w:tcPr>
            <w:tcW w:w="1135" w:type="dxa"/>
            <w:vAlign w:val="top"/>
          </w:tcPr>
          <w:p w14:paraId="58AD239A">
            <w:pPr>
              <w:spacing w:line="302" w:lineRule="auto"/>
              <w:rPr>
                <w:rFonts w:ascii="Arial"/>
                <w:sz w:val="21"/>
              </w:rPr>
            </w:pPr>
          </w:p>
          <w:p w14:paraId="475E06C6">
            <w:pPr>
              <w:spacing w:line="302" w:lineRule="auto"/>
              <w:rPr>
                <w:rFonts w:ascii="Arial"/>
                <w:sz w:val="21"/>
              </w:rPr>
            </w:pPr>
          </w:p>
          <w:p w14:paraId="126CB200">
            <w:pPr>
              <w:pStyle w:val="6"/>
              <w:spacing w:before="68" w:line="221" w:lineRule="auto"/>
              <w:ind w:left="154"/>
            </w:pPr>
            <w:r>
              <w:rPr>
                <w:spacing w:val="-3"/>
              </w:rPr>
              <w:t>企业业绩</w:t>
            </w:r>
          </w:p>
          <w:p w14:paraId="195339F5">
            <w:pPr>
              <w:pStyle w:val="6"/>
              <w:spacing w:before="19" w:line="221" w:lineRule="auto"/>
              <w:ind w:left="150"/>
            </w:pPr>
            <w:r>
              <w:rPr>
                <w:spacing w:val="-1"/>
              </w:rPr>
              <w:t>及技术能</w:t>
            </w:r>
          </w:p>
          <w:p w14:paraId="550C46B8">
            <w:pPr>
              <w:pStyle w:val="6"/>
              <w:spacing w:before="22" w:line="221" w:lineRule="auto"/>
              <w:ind w:left="469"/>
            </w:pPr>
            <w:r>
              <w:t>力</w:t>
            </w:r>
          </w:p>
        </w:tc>
        <w:tc>
          <w:tcPr>
            <w:tcW w:w="1135" w:type="dxa"/>
            <w:vAlign w:val="top"/>
          </w:tcPr>
          <w:p w14:paraId="7EED8568">
            <w:pPr>
              <w:spacing w:line="291" w:lineRule="auto"/>
              <w:rPr>
                <w:rFonts w:ascii="Arial"/>
                <w:sz w:val="21"/>
              </w:rPr>
            </w:pPr>
          </w:p>
          <w:p w14:paraId="73A20F27">
            <w:pPr>
              <w:spacing w:line="291" w:lineRule="auto"/>
              <w:rPr>
                <w:rFonts w:ascii="Arial"/>
                <w:sz w:val="21"/>
              </w:rPr>
            </w:pPr>
          </w:p>
          <w:p w14:paraId="6E9B6223">
            <w:pPr>
              <w:spacing w:line="292" w:lineRule="auto"/>
              <w:rPr>
                <w:rFonts w:ascii="Arial"/>
                <w:sz w:val="21"/>
              </w:rPr>
            </w:pPr>
          </w:p>
          <w:p w14:paraId="0CC710B4">
            <w:pPr>
              <w:pStyle w:val="6"/>
              <w:spacing w:before="68" w:line="221" w:lineRule="auto"/>
              <w:ind w:left="246"/>
            </w:pPr>
            <w:r>
              <w:rPr>
                <w:spacing w:val="-5"/>
              </w:rPr>
              <w:t>15.0分</w:t>
            </w:r>
          </w:p>
        </w:tc>
        <w:tc>
          <w:tcPr>
            <w:tcW w:w="4606" w:type="dxa"/>
            <w:gridSpan w:val="3"/>
            <w:vAlign w:val="top"/>
          </w:tcPr>
          <w:p w14:paraId="3EDFB84D">
            <w:pPr>
              <w:pStyle w:val="6"/>
              <w:spacing w:before="130" w:line="221" w:lineRule="auto"/>
              <w:ind w:left="160"/>
            </w:pPr>
            <w:r>
              <w:rPr>
                <w:spacing w:val="-1"/>
              </w:rPr>
              <w:t>（1）满足资格审查强制性资格条件要求的，得</w:t>
            </w:r>
          </w:p>
          <w:p w14:paraId="23D0710D">
            <w:pPr>
              <w:pStyle w:val="6"/>
              <w:spacing w:before="20" w:line="221" w:lineRule="auto"/>
              <w:ind w:left="2020"/>
            </w:pPr>
            <w:r>
              <w:rPr>
                <w:spacing w:val="-10"/>
              </w:rPr>
              <w:t>9分。</w:t>
            </w:r>
          </w:p>
          <w:p w14:paraId="09FAAE75">
            <w:pPr>
              <w:pStyle w:val="6"/>
              <w:spacing w:before="23" w:line="234" w:lineRule="auto"/>
              <w:ind w:left="208" w:right="119" w:hanging="72"/>
            </w:pPr>
            <w:r>
              <w:rPr>
                <w:spacing w:val="-6"/>
              </w:rPr>
              <w:t>（2）近5年（指交工验收时间为2019年1月1</w:t>
            </w:r>
            <w:r>
              <w:rPr>
                <w:spacing w:val="-2"/>
              </w:rPr>
              <w:t>日至投标文件递交截止日）内，每增加1个完成的合同金额600万元以上的二级公路路面施工项目，且工程验收质量合格，加3分；本项</w:t>
            </w:r>
          </w:p>
          <w:p w14:paraId="6FFFAB0A">
            <w:pPr>
              <w:pStyle w:val="6"/>
              <w:spacing w:before="20" w:line="221" w:lineRule="auto"/>
              <w:ind w:left="1681"/>
            </w:pPr>
            <w:r>
              <w:rPr>
                <w:spacing w:val="-7"/>
              </w:rPr>
              <w:t>最多加6分。</w:t>
            </w:r>
          </w:p>
        </w:tc>
      </w:tr>
      <w:tr w14:paraId="79ED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3" w:hRule="atLeast"/>
        </w:trPr>
        <w:tc>
          <w:tcPr>
            <w:tcW w:w="1053" w:type="dxa"/>
            <w:vMerge w:val="continue"/>
            <w:tcBorders>
              <w:top w:val="nil"/>
            </w:tcBorders>
            <w:vAlign w:val="top"/>
          </w:tcPr>
          <w:p w14:paraId="61F3FDCC">
            <w:pPr>
              <w:rPr>
                <w:rFonts w:ascii="Arial"/>
                <w:sz w:val="21"/>
              </w:rPr>
            </w:pPr>
          </w:p>
        </w:tc>
        <w:tc>
          <w:tcPr>
            <w:tcW w:w="604" w:type="dxa"/>
            <w:vMerge w:val="continue"/>
            <w:tcBorders>
              <w:top w:val="nil"/>
            </w:tcBorders>
            <w:textDirection w:val="tbRlV"/>
            <w:vAlign w:val="top"/>
          </w:tcPr>
          <w:p w14:paraId="05030A89">
            <w:pPr>
              <w:rPr>
                <w:rFonts w:ascii="Arial"/>
                <w:sz w:val="21"/>
              </w:rPr>
            </w:pPr>
          </w:p>
        </w:tc>
        <w:tc>
          <w:tcPr>
            <w:tcW w:w="1135" w:type="dxa"/>
            <w:vAlign w:val="top"/>
          </w:tcPr>
          <w:p w14:paraId="3F4E1AF5">
            <w:pPr>
              <w:spacing w:line="262" w:lineRule="auto"/>
              <w:rPr>
                <w:rFonts w:ascii="Arial"/>
                <w:sz w:val="21"/>
              </w:rPr>
            </w:pPr>
          </w:p>
          <w:p w14:paraId="53EC4BD4">
            <w:pPr>
              <w:spacing w:line="262" w:lineRule="auto"/>
              <w:rPr>
                <w:rFonts w:ascii="Arial"/>
                <w:sz w:val="21"/>
              </w:rPr>
            </w:pPr>
          </w:p>
          <w:p w14:paraId="710B8869">
            <w:pPr>
              <w:spacing w:line="262" w:lineRule="auto"/>
              <w:rPr>
                <w:rFonts w:ascii="Arial"/>
                <w:sz w:val="21"/>
              </w:rPr>
            </w:pPr>
          </w:p>
          <w:p w14:paraId="048FB632">
            <w:pPr>
              <w:spacing w:line="262" w:lineRule="auto"/>
              <w:rPr>
                <w:rFonts w:ascii="Arial"/>
                <w:sz w:val="21"/>
              </w:rPr>
            </w:pPr>
          </w:p>
          <w:p w14:paraId="08EF4022">
            <w:pPr>
              <w:spacing w:line="262" w:lineRule="auto"/>
              <w:rPr>
                <w:rFonts w:ascii="Arial"/>
                <w:sz w:val="21"/>
              </w:rPr>
            </w:pPr>
          </w:p>
          <w:p w14:paraId="2C0F2565">
            <w:pPr>
              <w:spacing w:line="263" w:lineRule="auto"/>
              <w:rPr>
                <w:rFonts w:ascii="Arial"/>
                <w:sz w:val="21"/>
              </w:rPr>
            </w:pPr>
          </w:p>
          <w:p w14:paraId="385A0A91">
            <w:pPr>
              <w:spacing w:line="263" w:lineRule="auto"/>
              <w:rPr>
                <w:rFonts w:ascii="Arial"/>
                <w:sz w:val="21"/>
              </w:rPr>
            </w:pPr>
          </w:p>
          <w:p w14:paraId="4EE67AA4">
            <w:pPr>
              <w:spacing w:line="263" w:lineRule="auto"/>
              <w:rPr>
                <w:rFonts w:ascii="Arial"/>
                <w:sz w:val="21"/>
              </w:rPr>
            </w:pPr>
          </w:p>
          <w:p w14:paraId="3247F9BE">
            <w:pPr>
              <w:spacing w:line="263" w:lineRule="auto"/>
              <w:rPr>
                <w:rFonts w:ascii="Arial"/>
                <w:sz w:val="21"/>
              </w:rPr>
            </w:pPr>
          </w:p>
          <w:p w14:paraId="5ECB8C73">
            <w:pPr>
              <w:pStyle w:val="6"/>
              <w:spacing w:before="68" w:line="220" w:lineRule="auto"/>
              <w:ind w:left="154"/>
            </w:pPr>
            <w:r>
              <w:rPr>
                <w:spacing w:val="-3"/>
              </w:rPr>
              <w:t>履约信誉</w:t>
            </w:r>
          </w:p>
        </w:tc>
        <w:tc>
          <w:tcPr>
            <w:tcW w:w="1135" w:type="dxa"/>
            <w:vAlign w:val="top"/>
          </w:tcPr>
          <w:p w14:paraId="2C505A10">
            <w:pPr>
              <w:spacing w:line="262" w:lineRule="auto"/>
              <w:rPr>
                <w:rFonts w:ascii="Arial"/>
                <w:sz w:val="21"/>
              </w:rPr>
            </w:pPr>
          </w:p>
          <w:p w14:paraId="0D72875F">
            <w:pPr>
              <w:spacing w:line="262" w:lineRule="auto"/>
              <w:rPr>
                <w:rFonts w:ascii="Arial"/>
                <w:sz w:val="21"/>
              </w:rPr>
            </w:pPr>
          </w:p>
          <w:p w14:paraId="249D2430">
            <w:pPr>
              <w:spacing w:line="262" w:lineRule="auto"/>
              <w:rPr>
                <w:rFonts w:ascii="Arial"/>
                <w:sz w:val="21"/>
              </w:rPr>
            </w:pPr>
          </w:p>
          <w:p w14:paraId="0A061FC3">
            <w:pPr>
              <w:spacing w:line="262" w:lineRule="auto"/>
              <w:rPr>
                <w:rFonts w:ascii="Arial"/>
                <w:sz w:val="21"/>
              </w:rPr>
            </w:pPr>
          </w:p>
          <w:p w14:paraId="46C5BA9B">
            <w:pPr>
              <w:spacing w:line="263" w:lineRule="auto"/>
              <w:rPr>
                <w:rFonts w:ascii="Arial"/>
                <w:sz w:val="21"/>
              </w:rPr>
            </w:pPr>
          </w:p>
          <w:p w14:paraId="7E4262F4">
            <w:pPr>
              <w:spacing w:line="263" w:lineRule="auto"/>
              <w:rPr>
                <w:rFonts w:ascii="Arial"/>
                <w:sz w:val="21"/>
              </w:rPr>
            </w:pPr>
          </w:p>
          <w:p w14:paraId="3413BF20">
            <w:pPr>
              <w:spacing w:line="263" w:lineRule="auto"/>
              <w:rPr>
                <w:rFonts w:ascii="Arial"/>
                <w:sz w:val="21"/>
              </w:rPr>
            </w:pPr>
          </w:p>
          <w:p w14:paraId="75E07E73">
            <w:pPr>
              <w:spacing w:line="263" w:lineRule="auto"/>
              <w:rPr>
                <w:rFonts w:ascii="Arial"/>
                <w:sz w:val="21"/>
              </w:rPr>
            </w:pPr>
          </w:p>
          <w:p w14:paraId="4BC45D6E">
            <w:pPr>
              <w:spacing w:line="263" w:lineRule="auto"/>
              <w:rPr>
                <w:rFonts w:ascii="Arial"/>
                <w:sz w:val="21"/>
              </w:rPr>
            </w:pPr>
          </w:p>
          <w:p w14:paraId="0B669C99">
            <w:pPr>
              <w:pStyle w:val="6"/>
              <w:spacing w:before="68" w:line="221" w:lineRule="auto"/>
              <w:ind w:left="233"/>
            </w:pPr>
            <w:r>
              <w:rPr>
                <w:spacing w:val="-2"/>
              </w:rPr>
              <w:t>20.0分</w:t>
            </w:r>
          </w:p>
        </w:tc>
        <w:tc>
          <w:tcPr>
            <w:tcW w:w="4606" w:type="dxa"/>
            <w:gridSpan w:val="3"/>
            <w:vAlign w:val="top"/>
          </w:tcPr>
          <w:p w14:paraId="6BF7BA1D">
            <w:pPr>
              <w:pStyle w:val="6"/>
              <w:spacing w:before="128" w:line="220" w:lineRule="auto"/>
              <w:ind w:left="207"/>
            </w:pPr>
            <w:r>
              <w:rPr>
                <w:spacing w:val="-1"/>
              </w:rPr>
              <w:t>根据投标人上两年度（以最新公布为准）在省</w:t>
            </w:r>
          </w:p>
          <w:p w14:paraId="522717D4">
            <w:pPr>
              <w:pStyle w:val="6"/>
              <w:spacing w:before="23" w:line="220" w:lineRule="auto"/>
              <w:ind w:left="210"/>
            </w:pPr>
            <w:r>
              <w:rPr>
                <w:spacing w:val="-1"/>
              </w:rPr>
              <w:t>级及以上交通运输主管部门发布的施工企业信</w:t>
            </w:r>
          </w:p>
          <w:p w14:paraId="4D9D0657">
            <w:pPr>
              <w:pStyle w:val="6"/>
              <w:spacing w:before="21" w:line="219" w:lineRule="auto"/>
              <w:ind w:left="156"/>
            </w:pPr>
            <w:r>
              <w:rPr>
                <w:spacing w:val="-1"/>
              </w:rPr>
              <w:t>用评价结果（由相同部门公布）被评为AA</w:t>
            </w:r>
            <w:r>
              <w:rPr>
                <w:spacing w:val="-2"/>
              </w:rPr>
              <w:t>的得</w:t>
            </w:r>
          </w:p>
          <w:p w14:paraId="363BCF43">
            <w:pPr>
              <w:pStyle w:val="6"/>
              <w:spacing w:before="24" w:line="220" w:lineRule="auto"/>
              <w:ind w:left="159"/>
            </w:pPr>
            <w:r>
              <w:rPr>
                <w:spacing w:val="-1"/>
              </w:rPr>
              <w:t>20分；上一年度（以最新公布为准）被评为AA</w:t>
            </w:r>
          </w:p>
          <w:p w14:paraId="36C2BDB4">
            <w:pPr>
              <w:pStyle w:val="6"/>
              <w:spacing w:before="20" w:line="221" w:lineRule="auto"/>
              <w:ind w:left="224"/>
            </w:pPr>
            <w:r>
              <w:rPr>
                <w:spacing w:val="-6"/>
              </w:rPr>
              <w:t>的得18分、被评为A的得15分、被评为B的</w:t>
            </w:r>
          </w:p>
          <w:p w14:paraId="3CAC18B0">
            <w:pPr>
              <w:pStyle w:val="6"/>
              <w:spacing w:before="22" w:line="221" w:lineRule="auto"/>
              <w:ind w:left="155"/>
            </w:pPr>
            <w:r>
              <w:rPr>
                <w:spacing w:val="-5"/>
              </w:rPr>
              <w:t>得10分、被评为C的得5分。（企业具备有效</w:t>
            </w:r>
          </w:p>
          <w:p w14:paraId="1C825727">
            <w:pPr>
              <w:pStyle w:val="6"/>
              <w:spacing w:before="20" w:line="219" w:lineRule="auto"/>
              <w:ind w:left="224"/>
            </w:pPr>
            <w:r>
              <w:rPr>
                <w:spacing w:val="-2"/>
              </w:rPr>
              <w:t>的辽宁省公路工程设计和施工企业信用评价等</w:t>
            </w:r>
          </w:p>
          <w:p w14:paraId="10621187">
            <w:pPr>
              <w:pStyle w:val="6"/>
              <w:spacing w:before="24" w:line="221" w:lineRule="auto"/>
              <w:ind w:left="210"/>
            </w:pPr>
            <w:r>
              <w:rPr>
                <w:spacing w:val="-1"/>
              </w:rPr>
              <w:t>级时（辽宁省公路工程设计和施工企业信用评</w:t>
            </w:r>
          </w:p>
          <w:p w14:paraId="07EBF43F">
            <w:pPr>
              <w:pStyle w:val="6"/>
              <w:spacing w:before="21" w:line="219" w:lineRule="auto"/>
              <w:ind w:left="208"/>
            </w:pPr>
            <w:r>
              <w:rPr>
                <w:spacing w:val="-2"/>
              </w:rPr>
              <w:t>价等级(定期评价)有效期1年，有效期结束后</w:t>
            </w:r>
          </w:p>
          <w:p w14:paraId="1F5F923F">
            <w:pPr>
              <w:pStyle w:val="6"/>
              <w:spacing w:before="25" w:line="219" w:lineRule="auto"/>
              <w:ind w:left="210"/>
            </w:pPr>
            <w:r>
              <w:rPr>
                <w:spacing w:val="-1"/>
              </w:rPr>
              <w:t>未获得新的信用评价等级的，原信用评价等级</w:t>
            </w:r>
          </w:p>
          <w:p w14:paraId="3C773E40">
            <w:pPr>
              <w:pStyle w:val="6"/>
              <w:spacing w:before="21" w:line="221" w:lineRule="auto"/>
              <w:ind w:left="208"/>
            </w:pPr>
            <w:r>
              <w:rPr>
                <w:spacing w:val="-3"/>
              </w:rPr>
              <w:t>可延续1年</w:t>
            </w:r>
            <w:r>
              <w:rPr>
                <w:spacing w:val="4"/>
              </w:rPr>
              <w:t>），</w:t>
            </w:r>
            <w:r>
              <w:rPr>
                <w:spacing w:val="-3"/>
              </w:rPr>
              <w:t>投标按其认定；不具备时（延</w:t>
            </w:r>
          </w:p>
          <w:p w14:paraId="4E9C4BC8">
            <w:pPr>
              <w:pStyle w:val="6"/>
              <w:spacing w:before="23" w:line="219" w:lineRule="auto"/>
              <w:ind w:left="209"/>
            </w:pPr>
            <w:r>
              <w:rPr>
                <w:spacing w:val="-3"/>
              </w:rPr>
              <w:t>续1年后仍未获得新的信用评价等级的</w:t>
            </w:r>
            <w:r>
              <w:rPr>
                <w:spacing w:val="4"/>
              </w:rPr>
              <w:t>），</w:t>
            </w:r>
            <w:r>
              <w:rPr>
                <w:spacing w:val="-3"/>
              </w:rPr>
              <w:t>投</w:t>
            </w:r>
          </w:p>
          <w:p w14:paraId="5EB38F33">
            <w:pPr>
              <w:pStyle w:val="6"/>
              <w:spacing w:before="22" w:line="219" w:lineRule="auto"/>
              <w:ind w:left="681"/>
            </w:pPr>
            <w:r>
              <w:rPr>
                <w:spacing w:val="2"/>
              </w:rPr>
              <w:t>标信用评价等级按照以下原则认定:</w:t>
            </w:r>
          </w:p>
          <w:p w14:paraId="5533F2A0">
            <w:pPr>
              <w:pStyle w:val="6"/>
              <w:spacing w:before="24" w:line="229" w:lineRule="auto"/>
              <w:ind w:left="1155" w:right="196" w:hanging="911"/>
            </w:pPr>
            <w:r>
              <w:rPr>
                <w:spacing w:val="-2"/>
              </w:rPr>
              <w:t>(一)具有全国综合信用评价等级的，按照全国</w:t>
            </w:r>
            <w:r>
              <w:rPr>
                <w:spacing w:val="-3"/>
              </w:rPr>
              <w:t>综合信用评价等级认定。</w:t>
            </w:r>
          </w:p>
          <w:p w14:paraId="7DBA5B64">
            <w:pPr>
              <w:pStyle w:val="6"/>
              <w:spacing w:before="24" w:line="229" w:lineRule="auto"/>
              <w:ind w:left="941" w:right="196" w:hanging="697"/>
            </w:pPr>
            <w:r>
              <w:rPr>
                <w:spacing w:val="-2"/>
              </w:rPr>
              <w:t>(二)无全国综合信用评价等级的，按照企业注册地省级信用评价等级认定。</w:t>
            </w:r>
          </w:p>
          <w:p w14:paraId="1ED8C6AA">
            <w:pPr>
              <w:pStyle w:val="6"/>
              <w:spacing w:before="22" w:line="219" w:lineRule="auto"/>
              <w:ind w:left="244"/>
            </w:pPr>
            <w:r>
              <w:rPr>
                <w:spacing w:val="-2"/>
              </w:rPr>
              <w:t>(三)无全国综合信用评价等级和注册地省级信</w:t>
            </w:r>
          </w:p>
        </w:tc>
      </w:tr>
    </w:tbl>
    <w:p w14:paraId="705E2291">
      <w:pPr>
        <w:pStyle w:val="2"/>
      </w:pPr>
    </w:p>
    <w:p w14:paraId="65546D3E">
      <w:pPr>
        <w:sectPr>
          <w:footerReference r:id="rId13" w:type="default"/>
          <w:pgSz w:w="11912" w:h="16851"/>
          <w:pgMar w:top="400" w:right="1685" w:bottom="1023" w:left="1687" w:header="0" w:footer="861" w:gutter="0"/>
          <w:cols w:space="720" w:num="1"/>
        </w:sectPr>
      </w:pPr>
    </w:p>
    <w:p w14:paraId="22FDA448">
      <w:pPr>
        <w:spacing w:before="19"/>
      </w:pPr>
    </w:p>
    <w:p w14:paraId="0F6F98E8">
      <w:pPr>
        <w:spacing w:before="19"/>
      </w:pPr>
    </w:p>
    <w:p w14:paraId="52C07D24">
      <w:pPr>
        <w:spacing w:before="18"/>
      </w:pPr>
    </w:p>
    <w:p w14:paraId="25A5F3AF">
      <w:pPr>
        <w:spacing w:before="18"/>
      </w:pPr>
    </w:p>
    <w:tbl>
      <w:tblPr>
        <w:tblStyle w:val="7"/>
        <w:tblW w:w="853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604"/>
        <w:gridCol w:w="1135"/>
        <w:gridCol w:w="1135"/>
        <w:gridCol w:w="4606"/>
      </w:tblGrid>
      <w:tr w14:paraId="0CB9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1053" w:type="dxa"/>
            <w:vAlign w:val="top"/>
          </w:tcPr>
          <w:p w14:paraId="5CEED3D4">
            <w:pPr>
              <w:rPr>
                <w:rFonts w:ascii="Arial"/>
                <w:sz w:val="21"/>
              </w:rPr>
            </w:pPr>
          </w:p>
        </w:tc>
        <w:tc>
          <w:tcPr>
            <w:tcW w:w="604" w:type="dxa"/>
            <w:vAlign w:val="top"/>
          </w:tcPr>
          <w:p w14:paraId="0EB045AE">
            <w:pPr>
              <w:rPr>
                <w:rFonts w:ascii="Arial"/>
                <w:sz w:val="21"/>
              </w:rPr>
            </w:pPr>
          </w:p>
        </w:tc>
        <w:tc>
          <w:tcPr>
            <w:tcW w:w="1135" w:type="dxa"/>
            <w:vAlign w:val="top"/>
          </w:tcPr>
          <w:p w14:paraId="544FEFB2">
            <w:pPr>
              <w:rPr>
                <w:rFonts w:ascii="Arial"/>
                <w:sz w:val="21"/>
              </w:rPr>
            </w:pPr>
          </w:p>
        </w:tc>
        <w:tc>
          <w:tcPr>
            <w:tcW w:w="1135" w:type="dxa"/>
            <w:vAlign w:val="top"/>
          </w:tcPr>
          <w:p w14:paraId="17726C79">
            <w:pPr>
              <w:rPr>
                <w:rFonts w:ascii="Arial"/>
                <w:sz w:val="21"/>
              </w:rPr>
            </w:pPr>
          </w:p>
        </w:tc>
        <w:tc>
          <w:tcPr>
            <w:tcW w:w="4606" w:type="dxa"/>
            <w:vAlign w:val="top"/>
          </w:tcPr>
          <w:p w14:paraId="2DBC6A75">
            <w:pPr>
              <w:pStyle w:val="6"/>
              <w:spacing w:before="128" w:line="235" w:lineRule="auto"/>
              <w:ind w:left="206" w:right="196" w:firstLine="2"/>
              <w:jc w:val="both"/>
            </w:pPr>
            <w:r>
              <w:rPr>
                <w:spacing w:val="-1"/>
              </w:rPr>
              <w:t>用评价等级的，根据“全国公路建设市场监督管理系统”查询结果，无不良行为记录的按A级认定，有不良行为记录但三年内无不良行为记录的按B级认定，三年内有不良行为记录的</w:t>
            </w:r>
          </w:p>
          <w:p w14:paraId="2EA7BEE5">
            <w:pPr>
              <w:pStyle w:val="6"/>
              <w:spacing w:before="22" w:line="221" w:lineRule="auto"/>
              <w:ind w:left="1680"/>
            </w:pPr>
            <w:r>
              <w:rPr>
                <w:spacing w:val="-5"/>
              </w:rPr>
              <w:t>按C级认定。</w:t>
            </w:r>
          </w:p>
          <w:p w14:paraId="31EE9869">
            <w:pPr>
              <w:pStyle w:val="6"/>
              <w:spacing w:before="19" w:line="221" w:lineRule="auto"/>
              <w:ind w:left="244"/>
            </w:pPr>
            <w:r>
              <w:rPr>
                <w:spacing w:val="-2"/>
              </w:rPr>
              <w:t>(四)联合体投标的，按照联合体成员企业中信</w:t>
            </w:r>
          </w:p>
          <w:p w14:paraId="1A16358D">
            <w:pPr>
              <w:pStyle w:val="6"/>
              <w:spacing w:before="21" w:line="231" w:lineRule="auto"/>
              <w:ind w:left="1996" w:right="407" w:hanging="1578"/>
            </w:pPr>
            <w:r>
              <w:rPr>
                <w:spacing w:val="-1"/>
              </w:rPr>
              <w:t>用评价等级最低的认定联合体信用评价等</w:t>
            </w:r>
            <w:r>
              <w:rPr>
                <w:spacing w:val="-6"/>
              </w:rPr>
              <w:t>级。）</w:t>
            </w:r>
          </w:p>
        </w:tc>
      </w:tr>
    </w:tbl>
    <w:p w14:paraId="4D550D9D">
      <w:pPr>
        <w:spacing w:before="3"/>
      </w:pPr>
    </w:p>
    <w:p w14:paraId="162302B9">
      <w:pPr>
        <w:spacing w:before="3"/>
      </w:pPr>
    </w:p>
    <w:tbl>
      <w:tblPr>
        <w:tblStyle w:val="7"/>
        <w:tblW w:w="85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8"/>
      </w:tblGrid>
      <w:tr w14:paraId="7035BBD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904" w:hRule="atLeast"/>
        </w:trPr>
        <w:tc>
          <w:tcPr>
            <w:tcW w:w="8538" w:type="dxa"/>
            <w:vAlign w:val="top"/>
          </w:tcPr>
          <w:p w14:paraId="3DB1511C">
            <w:pPr>
              <w:pStyle w:val="6"/>
              <w:spacing w:before="33" w:line="221" w:lineRule="auto"/>
              <w:ind w:left="127"/>
              <w:rPr>
                <w:color w:val="auto"/>
              </w:rPr>
            </w:pPr>
            <w:r>
              <w:rPr>
                <w:color w:val="auto"/>
                <w:spacing w:val="-2"/>
              </w:rPr>
              <w:t>需要补充的其他内容：</w:t>
            </w:r>
          </w:p>
          <w:p w14:paraId="5843B685">
            <w:pPr>
              <w:pStyle w:val="6"/>
              <w:spacing w:before="19" w:line="221" w:lineRule="auto"/>
              <w:ind w:left="115"/>
              <w:rPr>
                <w:color w:val="auto"/>
              </w:rPr>
            </w:pPr>
            <w:r>
              <w:rPr>
                <w:color w:val="auto"/>
                <w:spacing w:val="-1"/>
              </w:rPr>
              <w:t>评标办法</w:t>
            </w:r>
          </w:p>
          <w:p w14:paraId="4E92843E">
            <w:pPr>
              <w:pStyle w:val="6"/>
              <w:spacing w:before="22" w:line="220" w:lineRule="auto"/>
              <w:ind w:left="116"/>
              <w:rPr>
                <w:color w:val="auto"/>
              </w:rPr>
            </w:pPr>
            <w:r>
              <w:rPr>
                <w:color w:val="auto"/>
                <w:spacing w:val="-1"/>
              </w:rPr>
              <w:t>本条细化为：</w:t>
            </w:r>
          </w:p>
          <w:p w14:paraId="643A7C8E">
            <w:pPr>
              <w:pStyle w:val="6"/>
              <w:spacing w:before="21" w:line="219" w:lineRule="auto"/>
              <w:ind w:left="131"/>
              <w:rPr>
                <w:color w:val="auto"/>
              </w:rPr>
            </w:pPr>
            <w:r>
              <w:rPr>
                <w:color w:val="auto"/>
                <w:spacing w:val="-2"/>
              </w:rPr>
              <w:t>1.1本次评标采用双信封形式的技术评分最低标价法</w:t>
            </w:r>
          </w:p>
          <w:p w14:paraId="3507E202">
            <w:pPr>
              <w:pStyle w:val="6"/>
              <w:spacing w:before="26" w:line="233" w:lineRule="auto"/>
              <w:ind w:left="116" w:right="105" w:firstLine="6"/>
              <w:rPr>
                <w:color w:val="auto"/>
              </w:rPr>
            </w:pPr>
            <w:r>
              <w:rPr>
                <w:color w:val="auto"/>
              </w:rPr>
              <w:t>（1）评标委员会首先对投标文件第一信封进行初步评审，然后对通过第一信封初步评审的投标文件按照本章2.2款规定的评分标准进行第一信封详细量化评审，所有投标人的第二</w:t>
            </w:r>
            <w:r>
              <w:rPr>
                <w:color w:val="auto"/>
                <w:spacing w:val="-2"/>
              </w:rPr>
              <w:t>信封由招标人统一负责保存。</w:t>
            </w:r>
          </w:p>
          <w:p w14:paraId="0F165F02">
            <w:pPr>
              <w:pStyle w:val="6"/>
              <w:spacing w:before="20" w:line="233" w:lineRule="auto"/>
              <w:ind w:left="116" w:right="105" w:firstLine="6"/>
              <w:rPr>
                <w:color w:val="auto"/>
              </w:rPr>
            </w:pPr>
            <w:r>
              <w:rPr>
                <w:color w:val="auto"/>
                <w:spacing w:val="-1"/>
              </w:rPr>
              <w:t>（2）第一信封评审结果按照商务和技术评分由</w:t>
            </w:r>
            <w:r>
              <w:rPr>
                <w:color w:val="auto"/>
                <w:spacing w:val="-2"/>
              </w:rPr>
              <w:t>高到低排序，对排名在n以内的投标人的报</w:t>
            </w:r>
            <w:r>
              <w:rPr>
                <w:color w:val="auto"/>
              </w:rPr>
              <w:t>价文件进行评审，n值为参与商务和技术评分投标人数量的30%（数值向下取整）确定，n</w:t>
            </w:r>
            <w:r>
              <w:rPr>
                <w:color w:val="auto"/>
                <w:spacing w:val="-2"/>
              </w:rPr>
              <w:t>值不得少于3，不得大于10。其第二信封在监督机关的监督下进行开标。</w:t>
            </w:r>
          </w:p>
          <w:p w14:paraId="5ED24414">
            <w:pPr>
              <w:pStyle w:val="6"/>
              <w:spacing w:before="25" w:line="234" w:lineRule="auto"/>
              <w:ind w:left="116" w:right="104"/>
              <w:jc w:val="both"/>
              <w:rPr>
                <w:color w:val="auto"/>
              </w:rPr>
            </w:pPr>
            <w:r>
              <w:rPr>
                <w:color w:val="auto"/>
                <w:spacing w:val="3"/>
              </w:rPr>
              <w:t>若两个及以上投标人在综合得分均相同时，以项目所在地省级交通运输主管部门评为较高信用等级高者优先（优先顺序为辽宁省公路施工企业信用评价结果、交通运输部公路施工</w:t>
            </w:r>
            <w:r>
              <w:rPr>
                <w:color w:val="auto"/>
                <w:spacing w:val="-2"/>
              </w:rPr>
              <w:t>企业信用评价结果、企业注册地公路施工企业信用评价结</w:t>
            </w:r>
            <w:r>
              <w:rPr>
                <w:color w:val="auto"/>
                <w:spacing w:val="-3"/>
              </w:rPr>
              <w:t>果</w:t>
            </w:r>
            <w:r>
              <w:rPr>
                <w:color w:val="auto"/>
                <w:spacing w:val="-1"/>
              </w:rPr>
              <w:t>），</w:t>
            </w:r>
            <w:r>
              <w:rPr>
                <w:color w:val="auto"/>
                <w:spacing w:val="-3"/>
              </w:rPr>
              <w:t>若信用等级相同时，以施工</w:t>
            </w:r>
            <w:r>
              <w:rPr>
                <w:color w:val="auto"/>
                <w:spacing w:val="-2"/>
              </w:rPr>
              <w:t>组织设计得分高者优先。</w:t>
            </w:r>
          </w:p>
          <w:p w14:paraId="623AA3D7">
            <w:pPr>
              <w:pStyle w:val="6"/>
              <w:spacing w:before="23" w:line="229" w:lineRule="auto"/>
              <w:ind w:left="115" w:right="114" w:firstLine="7"/>
              <w:rPr>
                <w:color w:val="auto"/>
              </w:rPr>
            </w:pPr>
            <w:r>
              <w:rPr>
                <w:color w:val="auto"/>
              </w:rPr>
              <w:t>（3）评标委员会对开启的投标文件第二信封进行形式和响应性评审，对通过形式和响应性评审的投标人，按评标价由低至高的顺序推荐中标候选</w:t>
            </w:r>
            <w:r>
              <w:rPr>
                <w:color w:val="auto"/>
                <w:spacing w:val="-1"/>
              </w:rPr>
              <w:t>人。</w:t>
            </w:r>
          </w:p>
          <w:p w14:paraId="497B6562">
            <w:pPr>
              <w:pStyle w:val="6"/>
              <w:spacing w:before="26" w:line="234" w:lineRule="auto"/>
              <w:ind w:left="119" w:right="104" w:firstLine="2"/>
              <w:rPr>
                <w:color w:val="auto"/>
              </w:rPr>
            </w:pPr>
            <w:r>
              <w:rPr>
                <w:color w:val="auto"/>
              </w:rPr>
              <w:t>（4）若出现最低评标价相同时，评标委员会将详细评审相同评标价的投标人文件，确认无</w:t>
            </w:r>
            <w:r>
              <w:rPr>
                <w:color w:val="auto"/>
                <w:spacing w:val="3"/>
              </w:rPr>
              <w:t>雷同后，则以第一信封得分高者优先；若第一信封得分也相同，则依次以被项目所在地省级交通运输主管部门评为较高信用等级、企业业绩、项目管理机构、履约信誉、施工组织</w:t>
            </w:r>
            <w:r>
              <w:rPr>
                <w:color w:val="auto"/>
                <w:spacing w:val="-1"/>
              </w:rPr>
              <w:t>设计各单项得分由高至低的顺序进行推荐。</w:t>
            </w:r>
          </w:p>
          <w:p w14:paraId="6868851D">
            <w:pPr>
              <w:pStyle w:val="6"/>
              <w:spacing w:before="20" w:line="236" w:lineRule="auto"/>
              <w:ind w:left="115" w:right="103" w:firstLine="7"/>
              <w:rPr>
                <w:color w:val="auto"/>
              </w:rPr>
            </w:pPr>
            <w:r>
              <w:rPr>
                <w:color w:val="auto"/>
                <w:spacing w:val="-1"/>
              </w:rPr>
              <w:t>（5）通过第一信封评审的投标人为3个的，招标人将按规定的程序进行第二信封开标；在</w:t>
            </w:r>
            <w:r>
              <w:rPr>
                <w:color w:val="auto"/>
              </w:rPr>
              <w:t>对第二信封进行评审后，有效投标人不足3个使得投标明显缺乏竞争的，评标委员会可以</w:t>
            </w:r>
            <w:r>
              <w:rPr>
                <w:color w:val="auto"/>
                <w:spacing w:val="3"/>
              </w:rPr>
              <w:t>否决全部投标。评标委员会未否决全部投标的，应当在评标报告中阐明理由并推荐中标候</w:t>
            </w:r>
            <w:r>
              <w:rPr>
                <w:color w:val="auto"/>
                <w:spacing w:val="-8"/>
              </w:rPr>
              <w:t>选人。</w:t>
            </w:r>
          </w:p>
          <w:p w14:paraId="5450401C">
            <w:pPr>
              <w:pStyle w:val="6"/>
              <w:spacing w:before="17" w:line="230" w:lineRule="auto"/>
              <w:ind w:left="119" w:right="106" w:firstLine="2"/>
              <w:rPr>
                <w:color w:val="auto"/>
              </w:rPr>
            </w:pPr>
            <w:r>
              <w:rPr>
                <w:color w:val="auto"/>
              </w:rPr>
              <w:t>（6）若通过第一信封形式性与响应性及资格性评审的有效投标人数量仅为三家时，不再进</w:t>
            </w:r>
            <w:r>
              <w:rPr>
                <w:color w:val="auto"/>
                <w:spacing w:val="-2"/>
              </w:rPr>
              <w:t>行打分，第一信封评审采用通过制。</w:t>
            </w:r>
          </w:p>
          <w:p w14:paraId="4629D956">
            <w:pPr>
              <w:pStyle w:val="6"/>
              <w:spacing w:before="21" w:line="221" w:lineRule="auto"/>
              <w:ind w:left="115"/>
              <w:rPr>
                <w:color w:val="auto"/>
              </w:rPr>
            </w:pPr>
            <w:r>
              <w:rPr>
                <w:color w:val="auto"/>
                <w:spacing w:val="-6"/>
              </w:rPr>
              <w:t>废标条款：</w:t>
            </w:r>
          </w:p>
          <w:p w14:paraId="5B0413BC">
            <w:pPr>
              <w:pStyle w:val="6"/>
              <w:spacing w:before="22" w:line="220" w:lineRule="auto"/>
              <w:ind w:left="131"/>
              <w:rPr>
                <w:color w:val="auto"/>
              </w:rPr>
            </w:pPr>
            <w:r>
              <w:rPr>
                <w:color w:val="auto"/>
                <w:spacing w:val="-1"/>
              </w:rPr>
              <w:t>1第二章投标人须知规定的任何一种情形的</w:t>
            </w:r>
          </w:p>
          <w:p w14:paraId="3FDBD2C2">
            <w:pPr>
              <w:pStyle w:val="6"/>
              <w:spacing w:before="21" w:line="220" w:lineRule="auto"/>
              <w:ind w:left="118"/>
              <w:rPr>
                <w:color w:val="auto"/>
              </w:rPr>
            </w:pPr>
            <w:r>
              <w:rPr>
                <w:color w:val="auto"/>
                <w:spacing w:val="-1"/>
              </w:rPr>
              <w:t>2有串通投标或弄虚作假或有其他违法行为的</w:t>
            </w:r>
          </w:p>
          <w:p w14:paraId="0D7750A3">
            <w:pPr>
              <w:pStyle w:val="6"/>
              <w:spacing w:before="23" w:line="220" w:lineRule="auto"/>
              <w:ind w:left="120"/>
              <w:rPr>
                <w:color w:val="auto"/>
              </w:rPr>
            </w:pPr>
            <w:r>
              <w:rPr>
                <w:color w:val="auto"/>
                <w:spacing w:val="-1"/>
              </w:rPr>
              <w:t>3不按评标委员会要求澄清、说明或补正的</w:t>
            </w:r>
          </w:p>
          <w:p w14:paraId="1BF0F7C0">
            <w:pPr>
              <w:pStyle w:val="6"/>
              <w:spacing w:before="23" w:line="230" w:lineRule="auto"/>
              <w:ind w:left="116" w:right="106" w:hanging="1"/>
              <w:rPr>
                <w:color w:val="auto"/>
              </w:rPr>
            </w:pPr>
            <w:r>
              <w:rPr>
                <w:color w:val="auto"/>
                <w:spacing w:val="-2"/>
              </w:rPr>
              <w:t>4在形式评审、资格评审（适用于未进行资格预审的）、响应性评审中，</w:t>
            </w:r>
            <w:r>
              <w:rPr>
                <w:color w:val="auto"/>
                <w:spacing w:val="-3"/>
              </w:rPr>
              <w:t>评标委员会认定投</w:t>
            </w:r>
            <w:r>
              <w:rPr>
                <w:color w:val="auto"/>
              </w:rPr>
              <w:t>标人的投标不符合评标办法前附表中规定的任何一项评</w:t>
            </w:r>
            <w:r>
              <w:rPr>
                <w:color w:val="auto"/>
                <w:spacing w:val="-1"/>
              </w:rPr>
              <w:t>审标准的</w:t>
            </w:r>
          </w:p>
          <w:p w14:paraId="6F237EC0">
            <w:pPr>
              <w:pStyle w:val="6"/>
              <w:spacing w:before="20" w:line="231" w:lineRule="auto"/>
              <w:ind w:left="116" w:right="102" w:firstLine="4"/>
              <w:rPr>
                <w:color w:val="auto"/>
              </w:rPr>
            </w:pPr>
            <w:r>
              <w:rPr>
                <w:color w:val="auto"/>
                <w:spacing w:val="3"/>
              </w:rPr>
              <w:t>5当投标人资格预审申请文件的内容发生重大变化时，其在投标文件中更新的资料，</w:t>
            </w:r>
            <w:r>
              <w:rPr>
                <w:color w:val="auto"/>
                <w:spacing w:val="2"/>
              </w:rPr>
              <w:t>未能</w:t>
            </w:r>
            <w:r>
              <w:rPr>
                <w:color w:val="auto"/>
                <w:spacing w:val="1"/>
              </w:rPr>
              <w:t>通过资格评审的</w:t>
            </w:r>
            <w:r>
              <w:rPr>
                <w:color w:val="auto"/>
                <w:spacing w:val="-51"/>
                <w:w w:val="91"/>
              </w:rPr>
              <w:t>；（</w:t>
            </w:r>
            <w:r>
              <w:rPr>
                <w:color w:val="auto"/>
                <w:spacing w:val="1"/>
              </w:rPr>
              <w:t>适用于已进行资格预审的）</w:t>
            </w:r>
          </w:p>
          <w:p w14:paraId="0FAE079C">
            <w:pPr>
              <w:pStyle w:val="6"/>
              <w:spacing w:before="20" w:line="231" w:lineRule="auto"/>
              <w:ind w:left="126" w:right="104" w:hanging="9"/>
              <w:rPr>
                <w:color w:val="auto"/>
              </w:rPr>
            </w:pPr>
            <w:r>
              <w:rPr>
                <w:color w:val="auto"/>
                <w:spacing w:val="3"/>
              </w:rPr>
              <w:t>6在施工组织设计和项目管理机构评审中，评标委员会认定投标人的投标未能通过此项评</w:t>
            </w:r>
            <w:r>
              <w:rPr>
                <w:color w:val="auto"/>
                <w:spacing w:val="-5"/>
              </w:rPr>
              <w:t>审的</w:t>
            </w:r>
          </w:p>
          <w:p w14:paraId="7E5826E0">
            <w:pPr>
              <w:pStyle w:val="6"/>
              <w:spacing w:before="19" w:line="219" w:lineRule="auto"/>
              <w:ind w:left="121"/>
              <w:rPr>
                <w:color w:val="auto"/>
              </w:rPr>
            </w:pPr>
            <w:r>
              <w:rPr>
                <w:color w:val="auto"/>
                <w:spacing w:val="-1"/>
              </w:rPr>
              <w:t>7评标委员会认定投标人以低于成本报价竞标的</w:t>
            </w:r>
          </w:p>
          <w:p w14:paraId="68EE1BBB">
            <w:pPr>
              <w:pStyle w:val="6"/>
              <w:spacing w:before="25" w:line="219" w:lineRule="auto"/>
              <w:ind w:left="116"/>
              <w:rPr>
                <w:color w:val="auto"/>
              </w:rPr>
            </w:pPr>
            <w:r>
              <w:rPr>
                <w:color w:val="auto"/>
              </w:rPr>
              <w:t>8与其他投标人的投标文件分部、分项报价错漏一致，且没有合</w:t>
            </w:r>
            <w:r>
              <w:rPr>
                <w:color w:val="auto"/>
                <w:spacing w:val="-1"/>
              </w:rPr>
              <w:t>理解释的</w:t>
            </w:r>
          </w:p>
          <w:p w14:paraId="32475FE5">
            <w:pPr>
              <w:pStyle w:val="6"/>
              <w:spacing w:before="21" w:line="221" w:lineRule="auto"/>
              <w:ind w:left="116"/>
              <w:rPr>
                <w:color w:val="auto"/>
              </w:rPr>
            </w:pPr>
            <w:r>
              <w:rPr>
                <w:color w:val="auto"/>
              </w:rPr>
              <w:t>9与其他投标人的投标文件载明的项目管理班子成员出</w:t>
            </w:r>
            <w:r>
              <w:rPr>
                <w:color w:val="auto"/>
                <w:spacing w:val="-1"/>
              </w:rPr>
              <w:t>现重复的</w:t>
            </w:r>
          </w:p>
          <w:p w14:paraId="7AF66B96">
            <w:pPr>
              <w:pStyle w:val="6"/>
              <w:spacing w:before="23" w:line="207" w:lineRule="auto"/>
              <w:ind w:left="131"/>
              <w:rPr>
                <w:color w:val="auto"/>
              </w:rPr>
            </w:pPr>
            <w:r>
              <w:rPr>
                <w:color w:val="auto"/>
                <w:spacing w:val="-2"/>
              </w:rPr>
              <w:t>10与其他投标人的投标文件相互混装的</w:t>
            </w:r>
          </w:p>
        </w:tc>
      </w:tr>
    </w:tbl>
    <w:p w14:paraId="2234CBDE">
      <w:pPr>
        <w:pStyle w:val="2"/>
        <w:rPr>
          <w:color w:val="auto"/>
        </w:rPr>
      </w:pPr>
    </w:p>
    <w:p w14:paraId="13B62AD5">
      <w:pPr>
        <w:rPr>
          <w:color w:val="auto"/>
        </w:rPr>
        <w:sectPr>
          <w:footerReference r:id="rId14" w:type="default"/>
          <w:pgSz w:w="11912" w:h="16851"/>
          <w:pgMar w:top="400" w:right="1682" w:bottom="1025" w:left="1685" w:header="0" w:footer="861" w:gutter="0"/>
          <w:cols w:space="720" w:num="1"/>
        </w:sectPr>
      </w:pPr>
    </w:p>
    <w:p w14:paraId="5F6E9B9E">
      <w:pPr>
        <w:spacing w:before="19"/>
        <w:rPr>
          <w:color w:val="auto"/>
        </w:rPr>
      </w:pPr>
    </w:p>
    <w:p w14:paraId="58925AE2">
      <w:pPr>
        <w:spacing w:before="19"/>
        <w:rPr>
          <w:color w:val="auto"/>
        </w:rPr>
      </w:pPr>
    </w:p>
    <w:p w14:paraId="1F2DCB34">
      <w:pPr>
        <w:spacing w:before="18"/>
        <w:rPr>
          <w:color w:val="auto"/>
        </w:rPr>
      </w:pPr>
    </w:p>
    <w:p w14:paraId="1E4C7653">
      <w:pPr>
        <w:spacing w:before="18"/>
        <w:rPr>
          <w:color w:val="auto"/>
        </w:rPr>
      </w:pPr>
    </w:p>
    <w:tbl>
      <w:tblPr>
        <w:tblStyle w:val="7"/>
        <w:tblW w:w="85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8"/>
      </w:tblGrid>
      <w:tr w14:paraId="41393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7" w:hRule="atLeast"/>
        </w:trPr>
        <w:tc>
          <w:tcPr>
            <w:tcW w:w="8538" w:type="dxa"/>
            <w:vAlign w:val="top"/>
          </w:tcPr>
          <w:p w14:paraId="6AC32595">
            <w:pPr>
              <w:pStyle w:val="6"/>
              <w:spacing w:before="33" w:line="221" w:lineRule="auto"/>
              <w:ind w:left="131"/>
              <w:rPr>
                <w:color w:val="auto"/>
              </w:rPr>
            </w:pPr>
            <w:r>
              <w:rPr>
                <w:color w:val="auto"/>
              </w:rPr>
              <w:t>11不同投标人使用同一个人或者同一企业</w:t>
            </w:r>
            <w:r>
              <w:rPr>
                <w:color w:val="auto"/>
                <w:spacing w:val="-1"/>
              </w:rPr>
              <w:t>资金交纳投标保证金或者投标函的反担保的</w:t>
            </w:r>
          </w:p>
          <w:p w14:paraId="6CCC13AF">
            <w:pPr>
              <w:pStyle w:val="6"/>
              <w:spacing w:before="23" w:line="229" w:lineRule="auto"/>
              <w:ind w:left="117" w:right="105" w:firstLine="13"/>
              <w:rPr>
                <w:color w:val="auto"/>
              </w:rPr>
            </w:pPr>
            <w:r>
              <w:rPr>
                <w:color w:val="auto"/>
              </w:rPr>
              <w:t>12不同投标人聘请同一人为其投标提供技术或者经济咨询服务的，但招标工程本身要求采用专有技术的除外；采用专有技术，并征得招标人</w:t>
            </w:r>
            <w:r>
              <w:rPr>
                <w:color w:val="auto"/>
                <w:spacing w:val="-1"/>
              </w:rPr>
              <w:t>同意的除外</w:t>
            </w:r>
          </w:p>
          <w:p w14:paraId="74FC6E55">
            <w:pPr>
              <w:pStyle w:val="6"/>
              <w:spacing w:before="23" w:line="221" w:lineRule="auto"/>
              <w:ind w:left="131"/>
              <w:rPr>
                <w:color w:val="auto"/>
              </w:rPr>
            </w:pPr>
            <w:r>
              <w:rPr>
                <w:color w:val="auto"/>
                <w:spacing w:val="-2"/>
              </w:rPr>
              <w:t>13其他情况能够证明有陪标行为的</w:t>
            </w:r>
          </w:p>
          <w:p w14:paraId="29513347">
            <w:pPr>
              <w:pStyle w:val="6"/>
              <w:spacing w:before="20" w:line="220" w:lineRule="auto"/>
              <w:ind w:left="131"/>
              <w:rPr>
                <w:color w:val="auto"/>
              </w:rPr>
            </w:pPr>
            <w:r>
              <w:rPr>
                <w:color w:val="auto"/>
                <w:spacing w:val="-1"/>
              </w:rPr>
              <w:t>14投标人未按招标文件的规定出席开标会的</w:t>
            </w:r>
          </w:p>
          <w:p w14:paraId="499640F1">
            <w:pPr>
              <w:pStyle w:val="6"/>
              <w:spacing w:before="22" w:line="224" w:lineRule="auto"/>
              <w:ind w:left="115" w:right="106" w:firstLine="16"/>
              <w:rPr>
                <w:color w:val="auto"/>
              </w:rPr>
            </w:pPr>
            <w:r>
              <w:rPr>
                <w:color w:val="auto"/>
              </w:rPr>
              <w:t>15工程量清单中投标单价要求小数点后保留两位，合价、总价均要求精确至个位（四舍五</w:t>
            </w:r>
            <w:r>
              <w:rPr>
                <w:color w:val="auto"/>
                <w:spacing w:val="-6"/>
              </w:rPr>
              <w:t>入</w:t>
            </w:r>
            <w:r>
              <w:rPr>
                <w:color w:val="auto"/>
                <w:spacing w:val="-9"/>
              </w:rPr>
              <w:t>），</w:t>
            </w:r>
            <w:r>
              <w:rPr>
                <w:color w:val="auto"/>
                <w:spacing w:val="-6"/>
              </w:rPr>
              <w:t>否则作废标处理。（数字后出现的“.00”视为符合精确至个位的要求）</w:t>
            </w:r>
          </w:p>
        </w:tc>
      </w:tr>
    </w:tbl>
    <w:p w14:paraId="7590D175">
      <w:pPr>
        <w:pStyle w:val="2"/>
        <w:spacing w:line="370" w:lineRule="auto"/>
      </w:pPr>
    </w:p>
    <w:p w14:paraId="422D52BF">
      <w:pPr>
        <w:spacing w:before="91" w:line="219" w:lineRule="auto"/>
        <w:ind w:left="138"/>
        <w:outlineLvl w:val="2"/>
        <w:rPr>
          <w:rFonts w:ascii="黑体" w:hAnsi="黑体" w:eastAsia="黑体" w:cs="黑体"/>
          <w:sz w:val="28"/>
          <w:szCs w:val="28"/>
        </w:rPr>
      </w:pPr>
      <w:bookmarkStart w:id="2" w:name="bookmark51"/>
      <w:bookmarkEnd w:id="2"/>
      <w:bookmarkStart w:id="3" w:name="bookmark52"/>
      <w:bookmarkEnd w:id="3"/>
      <w:r>
        <w:rPr>
          <w:rFonts w:ascii="黑体" w:hAnsi="黑体" w:eastAsia="黑体" w:cs="黑体"/>
          <w:spacing w:val="-4"/>
          <w:sz w:val="28"/>
          <w:szCs w:val="28"/>
        </w:rPr>
        <w:t>1.评标方法</w:t>
      </w:r>
      <w:bookmarkStart w:id="8" w:name="_GoBack"/>
      <w:bookmarkEnd w:id="8"/>
    </w:p>
    <w:p w14:paraId="48B3BBDF">
      <w:pPr>
        <w:spacing w:before="204" w:line="355" w:lineRule="auto"/>
        <w:ind w:left="120" w:right="109" w:firstLine="421"/>
        <w:jc w:val="both"/>
        <w:rPr>
          <w:rFonts w:ascii="宋体" w:hAnsi="宋体" w:eastAsia="宋体" w:cs="宋体"/>
          <w:sz w:val="21"/>
          <w:szCs w:val="21"/>
        </w:rPr>
      </w:pPr>
      <w:r>
        <w:rPr>
          <w:rFonts w:ascii="宋体" w:hAnsi="宋体" w:eastAsia="宋体" w:cs="宋体"/>
          <w:spacing w:val="3"/>
          <w:sz w:val="21"/>
          <w:szCs w:val="21"/>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w:t>
      </w:r>
      <w:r>
        <w:rPr>
          <w:rFonts w:ascii="宋体" w:hAnsi="宋体" w:eastAsia="宋体" w:cs="宋体"/>
          <w:spacing w:val="2"/>
          <w:sz w:val="21"/>
          <w:szCs w:val="21"/>
        </w:rPr>
        <w:t>序推</w:t>
      </w:r>
      <w:r>
        <w:rPr>
          <w:rFonts w:ascii="宋体" w:hAnsi="宋体" w:eastAsia="宋体" w:cs="宋体"/>
          <w:spacing w:val="3"/>
          <w:sz w:val="21"/>
          <w:szCs w:val="21"/>
        </w:rPr>
        <w:t>荐中标候选人，或根据招标人授权直接确定中标人，但投标报价低于其成本的除外。评标价相等时，评标委员会应按照评标办法前附表规定的优先次序推荐中标候选人或确定中标</w:t>
      </w:r>
      <w:r>
        <w:rPr>
          <w:rFonts w:ascii="宋体" w:hAnsi="宋体" w:eastAsia="宋体" w:cs="宋体"/>
          <w:spacing w:val="-10"/>
          <w:sz w:val="21"/>
          <w:szCs w:val="21"/>
        </w:rPr>
        <w:t>人。</w:t>
      </w:r>
    </w:p>
    <w:p w14:paraId="74AFB234">
      <w:pPr>
        <w:spacing w:before="207" w:line="219" w:lineRule="auto"/>
        <w:ind w:left="121"/>
        <w:outlineLvl w:val="2"/>
        <w:rPr>
          <w:rFonts w:ascii="黑体" w:hAnsi="黑体" w:eastAsia="黑体" w:cs="黑体"/>
          <w:sz w:val="28"/>
          <w:szCs w:val="28"/>
        </w:rPr>
      </w:pPr>
      <w:bookmarkStart w:id="4" w:name="bookmark54"/>
      <w:bookmarkEnd w:id="4"/>
      <w:bookmarkStart w:id="5" w:name="bookmark53"/>
      <w:bookmarkEnd w:id="5"/>
      <w:r>
        <w:rPr>
          <w:rFonts w:ascii="黑体" w:hAnsi="黑体" w:eastAsia="黑体" w:cs="黑体"/>
          <w:spacing w:val="-1"/>
          <w:sz w:val="28"/>
          <w:szCs w:val="28"/>
        </w:rPr>
        <w:t>2.评审标准</w:t>
      </w:r>
    </w:p>
    <w:p w14:paraId="0811EB6C">
      <w:pPr>
        <w:spacing w:before="230" w:line="219" w:lineRule="auto"/>
        <w:ind w:left="117"/>
        <w:outlineLvl w:val="3"/>
        <w:rPr>
          <w:rFonts w:ascii="黑体" w:hAnsi="黑体" w:eastAsia="黑体" w:cs="黑体"/>
          <w:sz w:val="24"/>
          <w:szCs w:val="24"/>
        </w:rPr>
      </w:pPr>
      <w:r>
        <w:rPr>
          <w:rFonts w:ascii="Times New Roman" w:hAnsi="Times New Roman" w:eastAsia="Times New Roman" w:cs="Times New Roman"/>
          <w:spacing w:val="-1"/>
          <w:sz w:val="24"/>
          <w:szCs w:val="24"/>
        </w:rPr>
        <w:t>2.1</w:t>
      </w:r>
      <w:r>
        <w:rPr>
          <w:rFonts w:ascii="黑体" w:hAnsi="黑体" w:eastAsia="黑体" w:cs="黑体"/>
          <w:spacing w:val="-1"/>
          <w:sz w:val="24"/>
          <w:szCs w:val="24"/>
        </w:rPr>
        <w:t>初步评审标准</w:t>
      </w:r>
    </w:p>
    <w:p w14:paraId="7397DB3A">
      <w:pPr>
        <w:spacing w:before="212" w:line="342" w:lineRule="auto"/>
        <w:ind w:left="544" w:right="7584"/>
        <w:rPr>
          <w:rFonts w:ascii="Calibri" w:hAnsi="Calibri" w:eastAsia="Calibri" w:cs="Calibri"/>
          <w:sz w:val="21"/>
          <w:szCs w:val="21"/>
        </w:rPr>
      </w:pPr>
      <w:r>
        <w:rPr>
          <w:rFonts w:ascii="Calibri" w:hAnsi="Calibri" w:eastAsia="Calibri" w:cs="Calibri"/>
          <w:spacing w:val="-3"/>
          <w:sz w:val="21"/>
          <w:szCs w:val="21"/>
        </w:rPr>
        <w:t>2.1.12.1.2</w:t>
      </w:r>
    </w:p>
    <w:p w14:paraId="5A84FA76">
      <w:pPr>
        <w:spacing w:before="1" w:line="345" w:lineRule="auto"/>
        <w:ind w:left="119" w:right="108" w:firstLine="425"/>
        <w:rPr>
          <w:rFonts w:ascii="宋体" w:hAnsi="宋体" w:eastAsia="宋体" w:cs="宋体"/>
          <w:sz w:val="21"/>
          <w:szCs w:val="21"/>
        </w:rPr>
      </w:pPr>
      <w:r>
        <w:rPr>
          <w:rFonts w:ascii="Calibri" w:hAnsi="Calibri" w:eastAsia="Calibri" w:cs="Calibri"/>
          <w:spacing w:val="1"/>
          <w:sz w:val="21"/>
          <w:szCs w:val="21"/>
        </w:rPr>
        <w:t>2.1.2</w:t>
      </w:r>
      <w:r>
        <w:rPr>
          <w:rFonts w:ascii="宋体" w:hAnsi="宋体" w:eastAsia="宋体" w:cs="宋体"/>
          <w:spacing w:val="1"/>
          <w:sz w:val="21"/>
          <w:szCs w:val="21"/>
        </w:rPr>
        <w:t>资格评审标准：见资格预审文件第三</w:t>
      </w:r>
      <w:r>
        <w:rPr>
          <w:rFonts w:ascii="宋体" w:hAnsi="宋体" w:eastAsia="宋体" w:cs="宋体"/>
          <w:sz w:val="21"/>
          <w:szCs w:val="21"/>
        </w:rPr>
        <w:t>章</w:t>
      </w:r>
      <w:r>
        <w:rPr>
          <w:rFonts w:ascii="Calibri" w:hAnsi="Calibri" w:eastAsia="Calibri" w:cs="Calibri"/>
          <w:sz w:val="21"/>
          <w:szCs w:val="21"/>
        </w:rPr>
        <w:t>“</w:t>
      </w:r>
      <w:r>
        <w:rPr>
          <w:rFonts w:ascii="宋体" w:hAnsi="宋体" w:eastAsia="宋体" w:cs="宋体"/>
          <w:sz w:val="21"/>
          <w:szCs w:val="21"/>
        </w:rPr>
        <w:t>资格审查办法</w:t>
      </w:r>
      <w:r>
        <w:rPr>
          <w:rFonts w:ascii="Calibri" w:hAnsi="Calibri" w:eastAsia="Calibri" w:cs="Calibri"/>
          <w:sz w:val="21"/>
          <w:szCs w:val="21"/>
        </w:rPr>
        <w:t>”</w:t>
      </w:r>
      <w:r>
        <w:rPr>
          <w:rFonts w:ascii="宋体" w:hAnsi="宋体" w:eastAsia="宋体" w:cs="宋体"/>
          <w:sz w:val="21"/>
          <w:szCs w:val="21"/>
        </w:rPr>
        <w:t>详细审查标准（适用于已</w:t>
      </w:r>
      <w:r>
        <w:rPr>
          <w:rFonts w:ascii="宋体" w:hAnsi="宋体" w:eastAsia="宋体" w:cs="宋体"/>
          <w:spacing w:val="-14"/>
          <w:sz w:val="21"/>
          <w:szCs w:val="21"/>
        </w:rPr>
        <w:t>进行资格预审的）。</w:t>
      </w:r>
    </w:p>
    <w:p w14:paraId="4FBBD4AF">
      <w:pPr>
        <w:spacing w:before="69" w:line="179" w:lineRule="auto"/>
        <w:ind w:left="544"/>
        <w:rPr>
          <w:rFonts w:ascii="Calibri" w:hAnsi="Calibri" w:eastAsia="Calibri" w:cs="Calibri"/>
          <w:sz w:val="21"/>
          <w:szCs w:val="21"/>
        </w:rPr>
      </w:pPr>
      <w:r>
        <w:rPr>
          <w:rFonts w:ascii="Calibri" w:hAnsi="Calibri" w:eastAsia="Calibri" w:cs="Calibri"/>
          <w:spacing w:val="-2"/>
          <w:sz w:val="21"/>
          <w:szCs w:val="21"/>
        </w:rPr>
        <w:t>2.1.3</w:t>
      </w:r>
    </w:p>
    <w:p w14:paraId="6EBC8AD1">
      <w:pPr>
        <w:spacing w:before="184" w:line="219" w:lineRule="auto"/>
        <w:ind w:left="117"/>
        <w:outlineLvl w:val="3"/>
        <w:rPr>
          <w:rFonts w:ascii="黑体" w:hAnsi="黑体" w:eastAsia="黑体" w:cs="黑体"/>
          <w:sz w:val="24"/>
          <w:szCs w:val="24"/>
        </w:rPr>
      </w:pPr>
      <w:r>
        <w:rPr>
          <w:rFonts w:ascii="Times New Roman" w:hAnsi="Times New Roman" w:eastAsia="Times New Roman" w:cs="Times New Roman"/>
          <w:spacing w:val="-2"/>
          <w:sz w:val="24"/>
          <w:szCs w:val="24"/>
        </w:rPr>
        <w:t>2.2</w:t>
      </w:r>
      <w:r>
        <w:rPr>
          <w:rFonts w:ascii="黑体" w:hAnsi="黑体" w:eastAsia="黑体" w:cs="黑体"/>
          <w:spacing w:val="-2"/>
          <w:sz w:val="24"/>
          <w:szCs w:val="24"/>
        </w:rPr>
        <w:t>分值构成与评分标准</w:t>
      </w:r>
    </w:p>
    <w:p w14:paraId="294318B5">
      <w:pPr>
        <w:spacing w:before="174" w:line="221" w:lineRule="auto"/>
        <w:ind w:left="544"/>
        <w:rPr>
          <w:rFonts w:ascii="宋体" w:hAnsi="宋体" w:eastAsia="宋体" w:cs="宋体"/>
          <w:sz w:val="21"/>
          <w:szCs w:val="21"/>
        </w:rPr>
      </w:pPr>
      <w:r>
        <w:rPr>
          <w:rFonts w:ascii="Calibri" w:hAnsi="Calibri" w:eastAsia="Calibri" w:cs="Calibri"/>
          <w:spacing w:val="-2"/>
          <w:sz w:val="21"/>
          <w:szCs w:val="21"/>
        </w:rPr>
        <w:t>2.2.1</w:t>
      </w:r>
      <w:r>
        <w:rPr>
          <w:rFonts w:ascii="宋体" w:hAnsi="宋体" w:eastAsia="宋体" w:cs="宋体"/>
          <w:b/>
          <w:bCs/>
          <w:spacing w:val="-2"/>
          <w:sz w:val="21"/>
          <w:szCs w:val="21"/>
        </w:rPr>
        <w:t>第一个信封评分分值构成</w:t>
      </w:r>
    </w:p>
    <w:p w14:paraId="795C8A0A">
      <w:pPr>
        <w:spacing w:before="157" w:line="220" w:lineRule="auto"/>
        <w:ind w:left="547"/>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1</w:t>
      </w:r>
      <w:r>
        <w:rPr>
          <w:rFonts w:ascii="宋体" w:hAnsi="宋体" w:eastAsia="宋体" w:cs="宋体"/>
          <w:spacing w:val="-2"/>
          <w:sz w:val="21"/>
          <w:szCs w:val="21"/>
        </w:rPr>
        <w:t>）施工组织设计：见评标办法前附表；</w:t>
      </w:r>
    </w:p>
    <w:p w14:paraId="51F07A5B">
      <w:pPr>
        <w:spacing w:before="160" w:line="220" w:lineRule="auto"/>
        <w:ind w:left="547"/>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2</w:t>
      </w:r>
      <w:r>
        <w:rPr>
          <w:rFonts w:ascii="宋体" w:hAnsi="宋体" w:eastAsia="宋体" w:cs="宋体"/>
          <w:spacing w:val="-3"/>
          <w:sz w:val="21"/>
          <w:szCs w:val="21"/>
        </w:rPr>
        <w:t>）主要人员：见评标办法前附表；</w:t>
      </w:r>
    </w:p>
    <w:p w14:paraId="227BB9B5">
      <w:pPr>
        <w:spacing w:before="158" w:line="290" w:lineRule="auto"/>
        <w:ind w:left="544" w:right="4150" w:firstLine="2"/>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3</w:t>
      </w:r>
      <w:r>
        <w:rPr>
          <w:rFonts w:ascii="宋体" w:hAnsi="宋体" w:eastAsia="宋体" w:cs="宋体"/>
          <w:spacing w:val="-3"/>
          <w:sz w:val="21"/>
          <w:szCs w:val="21"/>
        </w:rPr>
        <w:t>）其他评分因素：见评标办法前附表。</w:t>
      </w:r>
      <w:r>
        <w:rPr>
          <w:rFonts w:ascii="Calibri" w:hAnsi="Calibri" w:eastAsia="Calibri" w:cs="Calibri"/>
          <w:spacing w:val="-2"/>
          <w:sz w:val="21"/>
          <w:szCs w:val="21"/>
        </w:rPr>
        <w:t>2.2.2</w:t>
      </w:r>
      <w:r>
        <w:rPr>
          <w:rFonts w:ascii="宋体" w:hAnsi="宋体" w:eastAsia="宋体" w:cs="宋体"/>
          <w:b/>
          <w:bCs/>
          <w:spacing w:val="-2"/>
          <w:sz w:val="21"/>
          <w:szCs w:val="21"/>
        </w:rPr>
        <w:t>第一个信封评分评分标准</w:t>
      </w:r>
    </w:p>
    <w:p w14:paraId="4349D1D2">
      <w:pPr>
        <w:spacing w:before="156" w:line="220" w:lineRule="auto"/>
        <w:ind w:left="547"/>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1</w:t>
      </w:r>
      <w:r>
        <w:rPr>
          <w:rFonts w:ascii="宋体" w:hAnsi="宋体" w:eastAsia="宋体" w:cs="宋体"/>
          <w:spacing w:val="-2"/>
          <w:sz w:val="21"/>
          <w:szCs w:val="21"/>
        </w:rPr>
        <w:t>）施工组织设计评分标准：见评标办法前附表；</w:t>
      </w:r>
    </w:p>
    <w:p w14:paraId="486A74C6">
      <w:pPr>
        <w:spacing w:before="159" w:line="220" w:lineRule="auto"/>
        <w:ind w:left="547"/>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2</w:t>
      </w:r>
      <w:r>
        <w:rPr>
          <w:rFonts w:ascii="宋体" w:hAnsi="宋体" w:eastAsia="宋体" w:cs="宋体"/>
          <w:spacing w:val="-2"/>
          <w:sz w:val="21"/>
          <w:szCs w:val="21"/>
        </w:rPr>
        <w:t>）主要人员评分标准：见评标办法前附表；</w:t>
      </w:r>
    </w:p>
    <w:p w14:paraId="01DDE588">
      <w:pPr>
        <w:spacing w:before="160" w:line="220" w:lineRule="auto"/>
        <w:ind w:left="547"/>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3</w:t>
      </w:r>
      <w:r>
        <w:rPr>
          <w:rFonts w:ascii="宋体" w:hAnsi="宋体" w:eastAsia="宋体" w:cs="宋体"/>
          <w:spacing w:val="-2"/>
          <w:sz w:val="21"/>
          <w:szCs w:val="21"/>
        </w:rPr>
        <w:t>）其他因素评分标准：见评标办法前附表。</w:t>
      </w:r>
    </w:p>
    <w:p w14:paraId="40DA795A">
      <w:pPr>
        <w:spacing w:before="158" w:line="220" w:lineRule="auto"/>
        <w:ind w:left="544"/>
        <w:rPr>
          <w:rFonts w:ascii="宋体" w:hAnsi="宋体" w:eastAsia="宋体" w:cs="宋体"/>
          <w:sz w:val="21"/>
          <w:szCs w:val="21"/>
        </w:rPr>
      </w:pPr>
      <w:r>
        <w:rPr>
          <w:rFonts w:ascii="Calibri" w:hAnsi="Calibri" w:eastAsia="Calibri" w:cs="Calibri"/>
          <w:spacing w:val="-1"/>
          <w:sz w:val="21"/>
          <w:szCs w:val="21"/>
        </w:rPr>
        <w:t>2.2.3</w:t>
      </w:r>
      <w:r>
        <w:rPr>
          <w:rFonts w:ascii="宋体" w:hAnsi="宋体" w:eastAsia="宋体" w:cs="宋体"/>
          <w:spacing w:val="-1"/>
          <w:sz w:val="21"/>
          <w:szCs w:val="21"/>
        </w:rPr>
        <w:t>第二个信封详细评审标准：见评标办法前附表。</w:t>
      </w:r>
    </w:p>
    <w:p w14:paraId="21EE39A7">
      <w:pPr>
        <w:pStyle w:val="2"/>
        <w:spacing w:line="246" w:lineRule="auto"/>
      </w:pPr>
    </w:p>
    <w:p w14:paraId="2EEAEBB9">
      <w:pPr>
        <w:spacing w:before="91" w:line="219" w:lineRule="auto"/>
        <w:ind w:left="123"/>
        <w:outlineLvl w:val="2"/>
        <w:rPr>
          <w:rFonts w:ascii="黑体" w:hAnsi="黑体" w:eastAsia="黑体" w:cs="黑体"/>
          <w:sz w:val="28"/>
          <w:szCs w:val="28"/>
        </w:rPr>
      </w:pPr>
      <w:bookmarkStart w:id="6" w:name="bookmark56"/>
      <w:bookmarkEnd w:id="6"/>
      <w:bookmarkStart w:id="7" w:name="bookmark55"/>
      <w:bookmarkEnd w:id="7"/>
      <w:r>
        <w:rPr>
          <w:rFonts w:ascii="黑体" w:hAnsi="黑体" w:eastAsia="黑体" w:cs="黑体"/>
          <w:spacing w:val="-2"/>
          <w:sz w:val="28"/>
          <w:szCs w:val="28"/>
        </w:rPr>
        <w:t>3.评标程序</w:t>
      </w:r>
    </w:p>
    <w:p w14:paraId="6EC24B75">
      <w:pPr>
        <w:spacing w:before="227" w:line="219" w:lineRule="auto"/>
        <w:ind w:left="122"/>
        <w:outlineLvl w:val="3"/>
        <w:rPr>
          <w:rFonts w:ascii="黑体" w:hAnsi="黑体" w:eastAsia="黑体" w:cs="黑体"/>
          <w:sz w:val="24"/>
          <w:szCs w:val="24"/>
        </w:rPr>
      </w:pPr>
      <w:r>
        <w:rPr>
          <w:rFonts w:ascii="Times New Roman" w:hAnsi="Times New Roman" w:eastAsia="Times New Roman" w:cs="Times New Roman"/>
          <w:spacing w:val="-1"/>
          <w:sz w:val="24"/>
          <w:szCs w:val="24"/>
        </w:rPr>
        <w:t>3.1</w:t>
      </w:r>
      <w:r>
        <w:rPr>
          <w:rFonts w:ascii="黑体" w:hAnsi="黑体" w:eastAsia="黑体" w:cs="黑体"/>
          <w:spacing w:val="-1"/>
          <w:sz w:val="24"/>
          <w:szCs w:val="24"/>
        </w:rPr>
        <w:t>第一个信封初步评审</w:t>
      </w:r>
    </w:p>
    <w:p w14:paraId="1546FBA6">
      <w:pPr>
        <w:spacing w:line="219" w:lineRule="auto"/>
        <w:rPr>
          <w:rFonts w:ascii="黑体" w:hAnsi="黑体" w:eastAsia="黑体" w:cs="黑体"/>
          <w:sz w:val="24"/>
          <w:szCs w:val="24"/>
        </w:rPr>
        <w:sectPr>
          <w:footerReference r:id="rId15" w:type="default"/>
          <w:pgSz w:w="11912" w:h="16851"/>
          <w:pgMar w:top="400" w:right="1682" w:bottom="1025" w:left="1685" w:header="0" w:footer="861" w:gutter="0"/>
          <w:cols w:space="720" w:num="1"/>
        </w:sectPr>
      </w:pPr>
    </w:p>
    <w:p w14:paraId="73380939">
      <w:pPr>
        <w:pStyle w:val="2"/>
        <w:spacing w:line="248" w:lineRule="auto"/>
      </w:pPr>
    </w:p>
    <w:p w14:paraId="57DBB2C1">
      <w:pPr>
        <w:pStyle w:val="2"/>
        <w:spacing w:line="248" w:lineRule="auto"/>
      </w:pPr>
    </w:p>
    <w:p w14:paraId="571AB911">
      <w:pPr>
        <w:pStyle w:val="2"/>
        <w:spacing w:line="249" w:lineRule="auto"/>
      </w:pPr>
    </w:p>
    <w:p w14:paraId="5DC01A7D">
      <w:pPr>
        <w:pStyle w:val="2"/>
        <w:spacing w:line="249" w:lineRule="auto"/>
      </w:pPr>
    </w:p>
    <w:p w14:paraId="3772680B">
      <w:pPr>
        <w:spacing w:before="68" w:line="353" w:lineRule="auto"/>
        <w:ind w:left="18" w:right="4" w:firstLine="423"/>
        <w:jc w:val="both"/>
        <w:rPr>
          <w:rFonts w:ascii="宋体" w:hAnsi="宋体" w:eastAsia="宋体" w:cs="宋体"/>
          <w:sz w:val="21"/>
          <w:szCs w:val="21"/>
        </w:rPr>
      </w:pPr>
      <w:r>
        <w:rPr>
          <w:rFonts w:ascii="Calibri" w:hAnsi="Calibri" w:eastAsia="Calibri" w:cs="Calibri"/>
          <w:spacing w:val="-2"/>
          <w:sz w:val="21"/>
          <w:szCs w:val="21"/>
        </w:rPr>
        <w:t>3.1.1</w:t>
      </w:r>
      <w:r>
        <w:rPr>
          <w:rFonts w:ascii="宋体" w:hAnsi="宋体" w:eastAsia="宋体" w:cs="宋体"/>
          <w:spacing w:val="-2"/>
          <w:sz w:val="21"/>
          <w:szCs w:val="21"/>
        </w:rPr>
        <w:t>评标委员会可以要求投标人提交第二章</w:t>
      </w:r>
      <w:r>
        <w:rPr>
          <w:rFonts w:ascii="Calibri" w:hAnsi="Calibri" w:eastAsia="Calibri" w:cs="Calibri"/>
          <w:spacing w:val="-2"/>
          <w:sz w:val="21"/>
          <w:szCs w:val="21"/>
        </w:rPr>
        <w:t>“</w:t>
      </w:r>
      <w:r>
        <w:rPr>
          <w:rFonts w:ascii="宋体" w:hAnsi="宋体" w:eastAsia="宋体" w:cs="宋体"/>
          <w:spacing w:val="-2"/>
          <w:sz w:val="21"/>
          <w:szCs w:val="21"/>
        </w:rPr>
        <w:t>投标人须知</w:t>
      </w:r>
      <w:r>
        <w:rPr>
          <w:rFonts w:ascii="Calibri" w:hAnsi="Calibri" w:eastAsia="Calibri" w:cs="Calibri"/>
          <w:spacing w:val="-2"/>
          <w:sz w:val="21"/>
          <w:szCs w:val="21"/>
        </w:rPr>
        <w:t>”</w:t>
      </w:r>
      <w:r>
        <w:rPr>
          <w:rFonts w:ascii="宋体" w:hAnsi="宋体" w:eastAsia="宋体" w:cs="宋体"/>
          <w:spacing w:val="-2"/>
          <w:sz w:val="21"/>
          <w:szCs w:val="21"/>
        </w:rPr>
        <w:t>第</w:t>
      </w:r>
      <w:r>
        <w:rPr>
          <w:rFonts w:ascii="Calibri" w:hAnsi="Calibri" w:eastAsia="Calibri" w:cs="Calibri"/>
          <w:spacing w:val="-2"/>
          <w:sz w:val="21"/>
          <w:szCs w:val="21"/>
        </w:rPr>
        <w:t>3.5.1</w:t>
      </w:r>
      <w:r>
        <w:rPr>
          <w:rFonts w:ascii="宋体" w:hAnsi="宋体" w:eastAsia="宋体" w:cs="宋体"/>
          <w:spacing w:val="-2"/>
          <w:sz w:val="21"/>
          <w:szCs w:val="21"/>
        </w:rPr>
        <w:t>项至第</w:t>
      </w:r>
      <w:r>
        <w:rPr>
          <w:rFonts w:ascii="Calibri" w:hAnsi="Calibri" w:eastAsia="Calibri" w:cs="Calibri"/>
          <w:spacing w:val="-2"/>
          <w:sz w:val="21"/>
          <w:szCs w:val="21"/>
        </w:rPr>
        <w:t>3.5.6</w:t>
      </w:r>
      <w:r>
        <w:rPr>
          <w:rFonts w:ascii="宋体" w:hAnsi="宋体" w:eastAsia="宋体" w:cs="宋体"/>
          <w:spacing w:val="-2"/>
          <w:sz w:val="21"/>
          <w:szCs w:val="21"/>
        </w:rPr>
        <w:t>项规定</w:t>
      </w:r>
      <w:r>
        <w:rPr>
          <w:rFonts w:ascii="宋体" w:hAnsi="宋体" w:eastAsia="宋体" w:cs="宋体"/>
          <w:spacing w:val="2"/>
          <w:sz w:val="21"/>
          <w:szCs w:val="21"/>
        </w:rPr>
        <w:t>的有关证明和证件的原件，以便核验。评标委员会依据本章第</w:t>
      </w:r>
      <w:r>
        <w:rPr>
          <w:rFonts w:ascii="Calibri" w:hAnsi="Calibri" w:eastAsia="Calibri" w:cs="Calibri"/>
          <w:spacing w:val="2"/>
          <w:sz w:val="21"/>
          <w:szCs w:val="21"/>
        </w:rPr>
        <w:t>2.1</w:t>
      </w:r>
      <w:r>
        <w:rPr>
          <w:rFonts w:ascii="宋体" w:hAnsi="宋体" w:eastAsia="宋体" w:cs="宋体"/>
          <w:spacing w:val="1"/>
          <w:sz w:val="21"/>
          <w:szCs w:val="21"/>
        </w:rPr>
        <w:t>款规定的标准对投标文</w:t>
      </w:r>
      <w:r>
        <w:rPr>
          <w:rFonts w:ascii="宋体" w:hAnsi="宋体" w:eastAsia="宋体" w:cs="宋体"/>
          <w:spacing w:val="3"/>
          <w:sz w:val="21"/>
          <w:szCs w:val="21"/>
        </w:rPr>
        <w:t>件第一个信封（商务及技术文件）进行初步评审。有一项不符合评审标准的，评</w:t>
      </w:r>
      <w:r>
        <w:rPr>
          <w:rFonts w:ascii="宋体" w:hAnsi="宋体" w:eastAsia="宋体" w:cs="宋体"/>
          <w:spacing w:val="2"/>
          <w:sz w:val="21"/>
          <w:szCs w:val="21"/>
        </w:rPr>
        <w:t>标委员会</w:t>
      </w:r>
      <w:r>
        <w:rPr>
          <w:rFonts w:ascii="宋体" w:hAnsi="宋体" w:eastAsia="宋体" w:cs="宋体"/>
          <w:spacing w:val="-6"/>
          <w:sz w:val="21"/>
          <w:szCs w:val="21"/>
        </w:rPr>
        <w:t>应否决其投标。（适用于未进行资格预审的）</w:t>
      </w:r>
    </w:p>
    <w:p w14:paraId="6C66B02C">
      <w:pPr>
        <w:spacing w:before="28" w:line="353" w:lineRule="auto"/>
        <w:ind w:left="18" w:right="4" w:firstLine="423"/>
        <w:jc w:val="both"/>
        <w:rPr>
          <w:rFonts w:ascii="宋体" w:hAnsi="宋体" w:eastAsia="宋体" w:cs="宋体"/>
          <w:sz w:val="21"/>
          <w:szCs w:val="21"/>
        </w:rPr>
      </w:pPr>
      <w:r>
        <w:rPr>
          <w:rFonts w:ascii="Calibri" w:hAnsi="Calibri" w:eastAsia="Calibri" w:cs="Calibri"/>
          <w:spacing w:val="-2"/>
          <w:sz w:val="21"/>
          <w:szCs w:val="21"/>
        </w:rPr>
        <w:t>3.1.1</w:t>
      </w:r>
      <w:r>
        <w:rPr>
          <w:rFonts w:ascii="宋体" w:hAnsi="宋体" w:eastAsia="宋体" w:cs="宋体"/>
          <w:spacing w:val="-2"/>
          <w:sz w:val="21"/>
          <w:szCs w:val="21"/>
        </w:rPr>
        <w:t>评标委员会依据本章第</w:t>
      </w:r>
      <w:r>
        <w:rPr>
          <w:rFonts w:ascii="Calibri" w:hAnsi="Calibri" w:eastAsia="Calibri" w:cs="Calibri"/>
          <w:spacing w:val="-2"/>
          <w:sz w:val="21"/>
          <w:szCs w:val="21"/>
        </w:rPr>
        <w:t>2.1.1</w:t>
      </w:r>
      <w:r>
        <w:rPr>
          <w:rFonts w:ascii="宋体" w:hAnsi="宋体" w:eastAsia="宋体" w:cs="宋体"/>
          <w:spacing w:val="-2"/>
          <w:sz w:val="21"/>
          <w:szCs w:val="21"/>
        </w:rPr>
        <w:t>项、第</w:t>
      </w:r>
      <w:r>
        <w:rPr>
          <w:rFonts w:ascii="Calibri" w:hAnsi="Calibri" w:eastAsia="Calibri" w:cs="Calibri"/>
          <w:spacing w:val="-2"/>
          <w:sz w:val="21"/>
          <w:szCs w:val="21"/>
        </w:rPr>
        <w:t>2.1.3</w:t>
      </w:r>
      <w:r>
        <w:rPr>
          <w:rFonts w:ascii="宋体" w:hAnsi="宋体" w:eastAsia="宋体" w:cs="宋体"/>
          <w:spacing w:val="-2"/>
          <w:sz w:val="21"/>
          <w:szCs w:val="21"/>
        </w:rPr>
        <w:t>项规定的评审标准对投标文件第一</w:t>
      </w:r>
      <w:r>
        <w:rPr>
          <w:rFonts w:ascii="宋体" w:hAnsi="宋体" w:eastAsia="宋体" w:cs="宋体"/>
          <w:spacing w:val="-3"/>
          <w:sz w:val="21"/>
          <w:szCs w:val="21"/>
        </w:rPr>
        <w:t>个信</w:t>
      </w:r>
      <w:r>
        <w:rPr>
          <w:rFonts w:ascii="宋体" w:hAnsi="宋体" w:eastAsia="宋体" w:cs="宋体"/>
          <w:spacing w:val="3"/>
          <w:sz w:val="21"/>
          <w:szCs w:val="21"/>
        </w:rPr>
        <w:t>封（商务及技术文件）进行初步评审。有一项不符合评审标准的，评标委员会应否决其投</w:t>
      </w:r>
      <w:r>
        <w:rPr>
          <w:rFonts w:ascii="宋体" w:hAnsi="宋体" w:eastAsia="宋体" w:cs="宋体"/>
          <w:spacing w:val="-1"/>
          <w:sz w:val="21"/>
          <w:szCs w:val="21"/>
        </w:rPr>
        <w:t>标。当投标人资格预审申请文件的内容发生重大变化时，评标委员会依据本章第</w:t>
      </w:r>
      <w:r>
        <w:rPr>
          <w:rFonts w:ascii="Calibri" w:hAnsi="Calibri" w:eastAsia="Calibri" w:cs="Calibri"/>
          <w:spacing w:val="-1"/>
          <w:sz w:val="21"/>
          <w:szCs w:val="21"/>
        </w:rPr>
        <w:t>2.1.2</w:t>
      </w:r>
      <w:r>
        <w:rPr>
          <w:rFonts w:ascii="宋体" w:hAnsi="宋体" w:eastAsia="宋体" w:cs="宋体"/>
          <w:spacing w:val="-1"/>
          <w:sz w:val="21"/>
          <w:szCs w:val="21"/>
        </w:rPr>
        <w:t>项规</w:t>
      </w:r>
      <w:r>
        <w:rPr>
          <w:rFonts w:ascii="宋体" w:hAnsi="宋体" w:eastAsia="宋体" w:cs="宋体"/>
          <w:spacing w:val="-4"/>
          <w:sz w:val="21"/>
          <w:szCs w:val="21"/>
        </w:rPr>
        <w:t>定的标准对其更新资料进行评审。（适用于已进行资格</w:t>
      </w:r>
      <w:r>
        <w:rPr>
          <w:rFonts w:ascii="宋体" w:hAnsi="宋体" w:eastAsia="宋体" w:cs="宋体"/>
          <w:spacing w:val="-5"/>
          <w:sz w:val="21"/>
          <w:szCs w:val="21"/>
        </w:rPr>
        <w:t>预审的）</w:t>
      </w:r>
    </w:p>
    <w:p w14:paraId="417B6702">
      <w:pPr>
        <w:spacing w:before="57" w:line="219" w:lineRule="auto"/>
        <w:ind w:left="21"/>
        <w:outlineLvl w:val="3"/>
        <w:rPr>
          <w:rFonts w:ascii="黑体" w:hAnsi="黑体" w:eastAsia="黑体" w:cs="黑体"/>
          <w:sz w:val="24"/>
          <w:szCs w:val="24"/>
        </w:rPr>
      </w:pPr>
      <w:r>
        <w:rPr>
          <w:rFonts w:ascii="Times New Roman" w:hAnsi="Times New Roman" w:eastAsia="Times New Roman" w:cs="Times New Roman"/>
          <w:spacing w:val="-1"/>
          <w:sz w:val="24"/>
          <w:szCs w:val="24"/>
        </w:rPr>
        <w:t>3.2</w:t>
      </w:r>
      <w:r>
        <w:rPr>
          <w:rFonts w:ascii="黑体" w:hAnsi="黑体" w:eastAsia="黑体" w:cs="黑体"/>
          <w:spacing w:val="-1"/>
          <w:sz w:val="24"/>
          <w:szCs w:val="24"/>
        </w:rPr>
        <w:t>第一个信封详细评审</w:t>
      </w:r>
    </w:p>
    <w:p w14:paraId="498FB361">
      <w:pPr>
        <w:spacing w:before="174" w:line="346" w:lineRule="auto"/>
        <w:ind w:left="36" w:right="4" w:firstLine="404"/>
        <w:rPr>
          <w:rFonts w:ascii="宋体" w:hAnsi="宋体" w:eastAsia="宋体" w:cs="宋体"/>
          <w:sz w:val="21"/>
          <w:szCs w:val="21"/>
        </w:rPr>
      </w:pPr>
      <w:r>
        <w:rPr>
          <w:rFonts w:ascii="Calibri" w:hAnsi="Calibri" w:eastAsia="Calibri" w:cs="Calibri"/>
          <w:sz w:val="21"/>
          <w:szCs w:val="21"/>
        </w:rPr>
        <w:t>3.2.1</w:t>
      </w:r>
      <w:r>
        <w:rPr>
          <w:rFonts w:ascii="宋体" w:hAnsi="宋体" w:eastAsia="宋体" w:cs="宋体"/>
          <w:sz w:val="21"/>
          <w:szCs w:val="21"/>
        </w:rPr>
        <w:t>评标委员会按本章第</w:t>
      </w:r>
      <w:r>
        <w:rPr>
          <w:rFonts w:ascii="Calibri" w:hAnsi="Calibri" w:eastAsia="Calibri" w:cs="Calibri"/>
          <w:sz w:val="21"/>
          <w:szCs w:val="21"/>
        </w:rPr>
        <w:t>2.2</w:t>
      </w:r>
      <w:r>
        <w:rPr>
          <w:rFonts w:ascii="宋体" w:hAnsi="宋体" w:eastAsia="宋体" w:cs="宋体"/>
          <w:sz w:val="21"/>
          <w:szCs w:val="21"/>
        </w:rPr>
        <w:t>款规定的量化因素和分值进行打分，并计算出各投标人</w:t>
      </w:r>
      <w:r>
        <w:rPr>
          <w:rFonts w:ascii="宋体" w:hAnsi="宋体" w:eastAsia="宋体" w:cs="宋体"/>
          <w:spacing w:val="-5"/>
          <w:sz w:val="21"/>
          <w:szCs w:val="21"/>
        </w:rPr>
        <w:t>的商务和技术得分。</w:t>
      </w:r>
    </w:p>
    <w:p w14:paraId="46CBA1FC">
      <w:pPr>
        <w:spacing w:before="29" w:line="292" w:lineRule="auto"/>
        <w:ind w:left="14" w:right="15" w:firstLine="430"/>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1</w:t>
      </w:r>
      <w:r>
        <w:rPr>
          <w:rFonts w:ascii="宋体" w:hAnsi="宋体" w:eastAsia="宋体" w:cs="宋体"/>
          <w:spacing w:val="-1"/>
          <w:sz w:val="21"/>
          <w:szCs w:val="21"/>
        </w:rPr>
        <w:t>）按本章第</w:t>
      </w:r>
      <w:r>
        <w:rPr>
          <w:rFonts w:ascii="Calibri" w:hAnsi="Calibri" w:eastAsia="Calibri" w:cs="Calibri"/>
          <w:spacing w:val="-1"/>
          <w:sz w:val="21"/>
          <w:szCs w:val="21"/>
        </w:rPr>
        <w:t>2.2.2</w:t>
      </w:r>
      <w:r>
        <w:rPr>
          <w:rFonts w:ascii="宋体" w:hAnsi="宋体" w:eastAsia="宋体" w:cs="宋体"/>
          <w:spacing w:val="-1"/>
          <w:sz w:val="21"/>
          <w:szCs w:val="21"/>
        </w:rPr>
        <w:t>项（</w:t>
      </w:r>
      <w:r>
        <w:rPr>
          <w:rFonts w:ascii="Calibri" w:hAnsi="Calibri" w:eastAsia="Calibri" w:cs="Calibri"/>
          <w:spacing w:val="-1"/>
          <w:sz w:val="21"/>
          <w:szCs w:val="21"/>
        </w:rPr>
        <w:t>1</w:t>
      </w:r>
      <w:r>
        <w:rPr>
          <w:rFonts w:ascii="宋体" w:hAnsi="宋体" w:eastAsia="宋体" w:cs="宋体"/>
          <w:spacing w:val="-1"/>
          <w:sz w:val="21"/>
          <w:szCs w:val="21"/>
        </w:rPr>
        <w:t>）目规定的评审因素和分值对施工组织设计部分计算</w:t>
      </w:r>
      <w:r>
        <w:rPr>
          <w:rFonts w:ascii="宋体" w:hAnsi="宋体" w:eastAsia="宋体" w:cs="宋体"/>
          <w:spacing w:val="-2"/>
          <w:sz w:val="21"/>
          <w:szCs w:val="21"/>
        </w:rPr>
        <w:t>出得分</w:t>
      </w:r>
      <w:r>
        <w:rPr>
          <w:rFonts w:ascii="Calibri" w:hAnsi="Calibri" w:eastAsia="Calibri" w:cs="Calibri"/>
          <w:spacing w:val="-2"/>
          <w:sz w:val="21"/>
          <w:szCs w:val="21"/>
        </w:rPr>
        <w:t>A</w:t>
      </w:r>
      <w:r>
        <w:rPr>
          <w:rFonts w:ascii="宋体" w:hAnsi="宋体" w:eastAsia="宋体" w:cs="宋体"/>
          <w:spacing w:val="-2"/>
          <w:sz w:val="21"/>
          <w:szCs w:val="21"/>
        </w:rPr>
        <w:t>；</w:t>
      </w:r>
    </w:p>
    <w:p w14:paraId="01241F09">
      <w:pPr>
        <w:spacing w:before="154" w:line="220" w:lineRule="auto"/>
        <w:ind w:left="445"/>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2</w:t>
      </w:r>
      <w:r>
        <w:rPr>
          <w:rFonts w:ascii="宋体" w:hAnsi="宋体" w:eastAsia="宋体" w:cs="宋体"/>
          <w:spacing w:val="-1"/>
          <w:sz w:val="21"/>
          <w:szCs w:val="21"/>
        </w:rPr>
        <w:t>）按本章第</w:t>
      </w:r>
      <w:r>
        <w:rPr>
          <w:rFonts w:ascii="Calibri" w:hAnsi="Calibri" w:eastAsia="Calibri" w:cs="Calibri"/>
          <w:spacing w:val="-1"/>
          <w:sz w:val="21"/>
          <w:szCs w:val="21"/>
        </w:rPr>
        <w:t>2.2.2</w:t>
      </w:r>
      <w:r>
        <w:rPr>
          <w:rFonts w:ascii="宋体" w:hAnsi="宋体" w:eastAsia="宋体" w:cs="宋体"/>
          <w:spacing w:val="-1"/>
          <w:sz w:val="21"/>
          <w:szCs w:val="21"/>
        </w:rPr>
        <w:t>项（</w:t>
      </w:r>
      <w:r>
        <w:rPr>
          <w:rFonts w:ascii="Calibri" w:hAnsi="Calibri" w:eastAsia="Calibri" w:cs="Calibri"/>
          <w:spacing w:val="-1"/>
          <w:sz w:val="21"/>
          <w:szCs w:val="21"/>
        </w:rPr>
        <w:t>2</w:t>
      </w:r>
      <w:r>
        <w:rPr>
          <w:rFonts w:ascii="宋体" w:hAnsi="宋体" w:eastAsia="宋体" w:cs="宋体"/>
          <w:spacing w:val="-1"/>
          <w:sz w:val="21"/>
          <w:szCs w:val="21"/>
        </w:rPr>
        <w:t>）目规定的评审因素和分值对主要</w:t>
      </w:r>
      <w:r>
        <w:rPr>
          <w:rFonts w:ascii="宋体" w:hAnsi="宋体" w:eastAsia="宋体" w:cs="宋体"/>
          <w:spacing w:val="-2"/>
          <w:sz w:val="21"/>
          <w:szCs w:val="21"/>
        </w:rPr>
        <w:t>人员部分计算出得分</w:t>
      </w:r>
      <w:r>
        <w:rPr>
          <w:rFonts w:ascii="Calibri" w:hAnsi="Calibri" w:eastAsia="Calibri" w:cs="Calibri"/>
          <w:spacing w:val="-2"/>
          <w:sz w:val="21"/>
          <w:szCs w:val="21"/>
        </w:rPr>
        <w:t>B</w:t>
      </w:r>
      <w:r>
        <w:rPr>
          <w:rFonts w:ascii="宋体" w:hAnsi="宋体" w:eastAsia="宋体" w:cs="宋体"/>
          <w:spacing w:val="-2"/>
          <w:sz w:val="21"/>
          <w:szCs w:val="21"/>
        </w:rPr>
        <w:t>；</w:t>
      </w:r>
    </w:p>
    <w:p w14:paraId="3EC4AFAB">
      <w:pPr>
        <w:spacing w:before="158" w:line="220" w:lineRule="auto"/>
        <w:ind w:left="445"/>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3</w:t>
      </w:r>
      <w:r>
        <w:rPr>
          <w:rFonts w:ascii="宋体" w:hAnsi="宋体" w:eastAsia="宋体" w:cs="宋体"/>
          <w:spacing w:val="-1"/>
          <w:sz w:val="21"/>
          <w:szCs w:val="21"/>
        </w:rPr>
        <w:t>）按本章第</w:t>
      </w:r>
      <w:r>
        <w:rPr>
          <w:rFonts w:ascii="Calibri" w:hAnsi="Calibri" w:eastAsia="Calibri" w:cs="Calibri"/>
          <w:spacing w:val="-1"/>
          <w:sz w:val="21"/>
          <w:szCs w:val="21"/>
        </w:rPr>
        <w:t>2.2.2</w:t>
      </w:r>
      <w:r>
        <w:rPr>
          <w:rFonts w:ascii="宋体" w:hAnsi="宋体" w:eastAsia="宋体" w:cs="宋体"/>
          <w:spacing w:val="-1"/>
          <w:sz w:val="21"/>
          <w:szCs w:val="21"/>
        </w:rPr>
        <w:t>项（</w:t>
      </w:r>
      <w:r>
        <w:rPr>
          <w:rFonts w:ascii="Calibri" w:hAnsi="Calibri" w:eastAsia="Calibri" w:cs="Calibri"/>
          <w:spacing w:val="-1"/>
          <w:sz w:val="21"/>
          <w:szCs w:val="21"/>
        </w:rPr>
        <w:t>3</w:t>
      </w:r>
      <w:r>
        <w:rPr>
          <w:rFonts w:ascii="宋体" w:hAnsi="宋体" w:eastAsia="宋体" w:cs="宋体"/>
          <w:spacing w:val="-1"/>
          <w:sz w:val="21"/>
          <w:szCs w:val="21"/>
        </w:rPr>
        <w:t>）目规定的评审因素和分值对其他部分计算</w:t>
      </w:r>
      <w:r>
        <w:rPr>
          <w:rFonts w:ascii="宋体" w:hAnsi="宋体" w:eastAsia="宋体" w:cs="宋体"/>
          <w:spacing w:val="-2"/>
          <w:sz w:val="21"/>
          <w:szCs w:val="21"/>
        </w:rPr>
        <w:t>出得分</w:t>
      </w:r>
      <w:r>
        <w:rPr>
          <w:rFonts w:ascii="Calibri" w:hAnsi="Calibri" w:eastAsia="Calibri" w:cs="Calibri"/>
          <w:spacing w:val="-2"/>
          <w:sz w:val="21"/>
          <w:szCs w:val="21"/>
        </w:rPr>
        <w:t>C</w:t>
      </w:r>
      <w:r>
        <w:rPr>
          <w:rFonts w:ascii="宋体" w:hAnsi="宋体" w:eastAsia="宋体" w:cs="宋体"/>
          <w:spacing w:val="-2"/>
          <w:sz w:val="21"/>
          <w:szCs w:val="21"/>
        </w:rPr>
        <w:t>。</w:t>
      </w:r>
    </w:p>
    <w:p w14:paraId="2B0FCEBF">
      <w:pPr>
        <w:spacing w:before="157" w:line="351" w:lineRule="auto"/>
        <w:ind w:left="18" w:right="6" w:firstLine="423"/>
        <w:rPr>
          <w:rFonts w:ascii="宋体" w:hAnsi="宋体" w:eastAsia="宋体" w:cs="宋体"/>
          <w:sz w:val="21"/>
          <w:szCs w:val="21"/>
        </w:rPr>
      </w:pPr>
      <w:r>
        <w:rPr>
          <w:rFonts w:ascii="Calibri" w:hAnsi="Calibri" w:eastAsia="Calibri" w:cs="Calibri"/>
          <w:spacing w:val="1"/>
          <w:sz w:val="21"/>
          <w:szCs w:val="21"/>
        </w:rPr>
        <w:t>3.2.2</w:t>
      </w:r>
      <w:r>
        <w:rPr>
          <w:rFonts w:ascii="宋体" w:hAnsi="宋体" w:eastAsia="宋体" w:cs="宋体"/>
          <w:spacing w:val="1"/>
          <w:sz w:val="21"/>
          <w:szCs w:val="21"/>
        </w:rPr>
        <w:t>投标人的商务和技术得分分值计算保留小数点后两位，小数点后第三位</w:t>
      </w:r>
      <w:r>
        <w:rPr>
          <w:rFonts w:ascii="Calibri" w:hAnsi="Calibri" w:eastAsia="Calibri" w:cs="Calibri"/>
          <w:spacing w:val="1"/>
          <w:sz w:val="21"/>
          <w:szCs w:val="21"/>
        </w:rPr>
        <w:t>“</w:t>
      </w:r>
      <w:r>
        <w:rPr>
          <w:rFonts w:ascii="宋体" w:hAnsi="宋体" w:eastAsia="宋体" w:cs="宋体"/>
          <w:spacing w:val="1"/>
          <w:sz w:val="21"/>
          <w:szCs w:val="21"/>
        </w:rPr>
        <w:t>四舍五</w:t>
      </w:r>
      <w:r>
        <w:rPr>
          <w:rFonts w:ascii="宋体" w:hAnsi="宋体" w:eastAsia="宋体" w:cs="宋体"/>
          <w:spacing w:val="-2"/>
          <w:sz w:val="21"/>
          <w:szCs w:val="21"/>
        </w:rPr>
        <w:t>入</w:t>
      </w:r>
      <w:r>
        <w:rPr>
          <w:rFonts w:ascii="Calibri" w:hAnsi="Calibri" w:eastAsia="Calibri" w:cs="Calibri"/>
          <w:spacing w:val="-2"/>
          <w:sz w:val="21"/>
          <w:szCs w:val="21"/>
        </w:rPr>
        <w:t>”</w:t>
      </w:r>
      <w:r>
        <w:rPr>
          <w:rFonts w:ascii="宋体" w:hAnsi="宋体" w:eastAsia="宋体" w:cs="宋体"/>
          <w:spacing w:val="-2"/>
          <w:sz w:val="21"/>
          <w:szCs w:val="21"/>
        </w:rPr>
        <w:t>。</w:t>
      </w:r>
    </w:p>
    <w:p w14:paraId="39B43883">
      <w:pPr>
        <w:spacing w:before="20" w:line="221" w:lineRule="auto"/>
        <w:ind w:left="441"/>
        <w:rPr>
          <w:rFonts w:ascii="宋体" w:hAnsi="宋体" w:eastAsia="宋体" w:cs="宋体"/>
          <w:sz w:val="21"/>
          <w:szCs w:val="21"/>
        </w:rPr>
      </w:pPr>
      <w:r>
        <w:rPr>
          <w:rFonts w:ascii="Calibri" w:hAnsi="Calibri" w:eastAsia="Calibri" w:cs="Calibri"/>
          <w:spacing w:val="-1"/>
          <w:sz w:val="21"/>
          <w:szCs w:val="21"/>
        </w:rPr>
        <w:t>3.2.3</w:t>
      </w:r>
      <w:r>
        <w:rPr>
          <w:rFonts w:ascii="宋体" w:hAnsi="宋体" w:eastAsia="宋体" w:cs="宋体"/>
          <w:spacing w:val="-1"/>
          <w:sz w:val="21"/>
          <w:szCs w:val="21"/>
        </w:rPr>
        <w:t>投标人的商务和技术得分</w:t>
      </w:r>
      <w:r>
        <w:rPr>
          <w:rFonts w:ascii="Calibri" w:hAnsi="Calibri" w:eastAsia="Calibri" w:cs="Calibri"/>
          <w:spacing w:val="-1"/>
          <w:sz w:val="21"/>
          <w:szCs w:val="21"/>
        </w:rPr>
        <w:t>=A+B+C</w:t>
      </w:r>
      <w:r>
        <w:rPr>
          <w:rFonts w:ascii="宋体" w:hAnsi="宋体" w:eastAsia="宋体" w:cs="宋体"/>
          <w:spacing w:val="-1"/>
          <w:sz w:val="21"/>
          <w:szCs w:val="21"/>
        </w:rPr>
        <w:t>。</w:t>
      </w:r>
    </w:p>
    <w:p w14:paraId="693DDF67">
      <w:pPr>
        <w:spacing w:before="156" w:line="346" w:lineRule="auto"/>
        <w:ind w:left="20" w:right="6" w:firstLine="421"/>
        <w:rPr>
          <w:rFonts w:ascii="宋体" w:hAnsi="宋体" w:eastAsia="宋体" w:cs="宋体"/>
          <w:sz w:val="21"/>
          <w:szCs w:val="21"/>
        </w:rPr>
      </w:pPr>
      <w:r>
        <w:rPr>
          <w:rFonts w:ascii="Calibri" w:hAnsi="Calibri" w:eastAsia="Calibri" w:cs="Calibri"/>
          <w:sz w:val="21"/>
          <w:szCs w:val="21"/>
        </w:rPr>
        <w:t>3.2.4</w:t>
      </w:r>
      <w:r>
        <w:rPr>
          <w:rFonts w:ascii="宋体" w:hAnsi="宋体" w:eastAsia="宋体" w:cs="宋体"/>
          <w:sz w:val="21"/>
          <w:szCs w:val="21"/>
        </w:rPr>
        <w:t>评标委员会按照投标人的商务和技术得分由高到低排序，排名在</w:t>
      </w:r>
      <w:r>
        <w:rPr>
          <w:rFonts w:ascii="宋体" w:hAnsi="宋体" w:eastAsia="宋体" w:cs="宋体"/>
          <w:spacing w:val="-1"/>
          <w:sz w:val="21"/>
          <w:szCs w:val="21"/>
        </w:rPr>
        <w:t>评标办法前附表</w:t>
      </w:r>
      <w:r>
        <w:rPr>
          <w:rFonts w:ascii="宋体" w:hAnsi="宋体" w:eastAsia="宋体" w:cs="宋体"/>
          <w:sz w:val="21"/>
          <w:szCs w:val="21"/>
        </w:rPr>
        <w:t>规定数量以内的投标人，其投标文件第一个信封（商务及技术文件）通过详细评</w:t>
      </w:r>
      <w:r>
        <w:rPr>
          <w:rFonts w:ascii="宋体" w:hAnsi="宋体" w:eastAsia="宋体" w:cs="宋体"/>
          <w:spacing w:val="-1"/>
          <w:sz w:val="21"/>
          <w:szCs w:val="21"/>
        </w:rPr>
        <w:t>审。</w:t>
      </w:r>
    </w:p>
    <w:p w14:paraId="7FB9A58C">
      <w:pPr>
        <w:spacing w:before="29" w:line="351" w:lineRule="auto"/>
        <w:ind w:left="18" w:right="4" w:firstLine="423"/>
        <w:rPr>
          <w:rFonts w:ascii="宋体" w:hAnsi="宋体" w:eastAsia="宋体" w:cs="宋体"/>
          <w:sz w:val="21"/>
          <w:szCs w:val="21"/>
        </w:rPr>
      </w:pPr>
      <w:r>
        <w:rPr>
          <w:rFonts w:ascii="Calibri" w:hAnsi="Calibri" w:eastAsia="Calibri" w:cs="Calibri"/>
          <w:spacing w:val="-1"/>
          <w:sz w:val="21"/>
          <w:szCs w:val="21"/>
        </w:rPr>
        <w:t>3.2.5</w:t>
      </w:r>
      <w:r>
        <w:rPr>
          <w:rFonts w:ascii="宋体" w:hAnsi="宋体" w:eastAsia="宋体" w:cs="宋体"/>
          <w:spacing w:val="-1"/>
          <w:sz w:val="21"/>
          <w:szCs w:val="21"/>
        </w:rPr>
        <w:t>通过投标文件第一个信封（商务及技术文件）初步评审的投标人不少于</w:t>
      </w:r>
      <w:r>
        <w:rPr>
          <w:rFonts w:ascii="Calibri" w:hAnsi="Calibri" w:eastAsia="Calibri" w:cs="Calibri"/>
          <w:spacing w:val="-1"/>
          <w:sz w:val="21"/>
          <w:szCs w:val="21"/>
        </w:rPr>
        <w:t>3</w:t>
      </w:r>
      <w:r>
        <w:rPr>
          <w:rFonts w:ascii="宋体" w:hAnsi="宋体" w:eastAsia="宋体" w:cs="宋体"/>
          <w:spacing w:val="-2"/>
          <w:sz w:val="21"/>
          <w:szCs w:val="21"/>
        </w:rPr>
        <w:t>个且未</w:t>
      </w:r>
      <w:r>
        <w:rPr>
          <w:rFonts w:ascii="宋体" w:hAnsi="宋体" w:eastAsia="宋体" w:cs="宋体"/>
          <w:spacing w:val="2"/>
          <w:sz w:val="21"/>
          <w:szCs w:val="21"/>
        </w:rPr>
        <w:t>超过评标办法前附表第</w:t>
      </w:r>
      <w:r>
        <w:rPr>
          <w:rFonts w:ascii="Calibri" w:hAnsi="Calibri" w:eastAsia="Calibri" w:cs="Calibri"/>
          <w:spacing w:val="2"/>
          <w:sz w:val="21"/>
          <w:szCs w:val="21"/>
        </w:rPr>
        <w:t>3.2.4</w:t>
      </w:r>
      <w:r>
        <w:rPr>
          <w:rFonts w:ascii="宋体" w:hAnsi="宋体" w:eastAsia="宋体" w:cs="宋体"/>
          <w:spacing w:val="2"/>
          <w:sz w:val="21"/>
          <w:szCs w:val="21"/>
        </w:rPr>
        <w:t>项规定数量的，均通过投标文件第一个信封（商务及技术文</w:t>
      </w:r>
      <w:r>
        <w:rPr>
          <w:rFonts w:ascii="宋体" w:hAnsi="宋体" w:eastAsia="宋体" w:cs="宋体"/>
          <w:sz w:val="21"/>
          <w:szCs w:val="21"/>
        </w:rPr>
        <w:t>件）详细评审，不再对投标人的商务和技术文件进行评</w:t>
      </w:r>
      <w:r>
        <w:rPr>
          <w:rFonts w:ascii="宋体" w:hAnsi="宋体" w:eastAsia="宋体" w:cs="宋体"/>
          <w:spacing w:val="-1"/>
          <w:sz w:val="21"/>
          <w:szCs w:val="21"/>
        </w:rPr>
        <w:t>分。</w:t>
      </w:r>
    </w:p>
    <w:p w14:paraId="0E5F1436">
      <w:pPr>
        <w:spacing w:before="58" w:line="219" w:lineRule="auto"/>
        <w:ind w:left="21"/>
        <w:outlineLvl w:val="3"/>
        <w:rPr>
          <w:rFonts w:ascii="黑体" w:hAnsi="黑体" w:eastAsia="黑体" w:cs="黑体"/>
          <w:sz w:val="24"/>
          <w:szCs w:val="24"/>
        </w:rPr>
      </w:pPr>
      <w:r>
        <w:rPr>
          <w:rFonts w:ascii="Times New Roman" w:hAnsi="Times New Roman" w:eastAsia="Times New Roman" w:cs="Times New Roman"/>
          <w:spacing w:val="-1"/>
          <w:sz w:val="24"/>
          <w:szCs w:val="24"/>
        </w:rPr>
        <w:t>3.3</w:t>
      </w:r>
      <w:r>
        <w:rPr>
          <w:rFonts w:ascii="黑体" w:hAnsi="黑体" w:eastAsia="黑体" w:cs="黑体"/>
          <w:spacing w:val="-1"/>
          <w:sz w:val="24"/>
          <w:szCs w:val="24"/>
        </w:rPr>
        <w:t>第二个信封开标</w:t>
      </w:r>
    </w:p>
    <w:p w14:paraId="479D0453">
      <w:pPr>
        <w:spacing w:before="175" w:line="350" w:lineRule="auto"/>
        <w:ind w:left="19" w:right="6" w:firstLine="419"/>
        <w:jc w:val="both"/>
        <w:rPr>
          <w:rFonts w:ascii="宋体" w:hAnsi="宋体" w:eastAsia="宋体" w:cs="宋体"/>
          <w:sz w:val="21"/>
          <w:szCs w:val="21"/>
        </w:rPr>
      </w:pPr>
      <w:r>
        <w:rPr>
          <w:rFonts w:ascii="宋体" w:hAnsi="宋体" w:eastAsia="宋体" w:cs="宋体"/>
          <w:sz w:val="21"/>
          <w:szCs w:val="21"/>
        </w:rPr>
        <w:t>第一个信封（商务及技术文件）评审结束后，招标人将按照第二章</w:t>
      </w:r>
      <w:r>
        <w:rPr>
          <w:rFonts w:ascii="Calibri" w:hAnsi="Calibri" w:eastAsia="Calibri" w:cs="Calibri"/>
          <w:sz w:val="21"/>
          <w:szCs w:val="21"/>
        </w:rPr>
        <w:t>“</w:t>
      </w:r>
      <w:r>
        <w:rPr>
          <w:rFonts w:ascii="宋体" w:hAnsi="宋体" w:eastAsia="宋体" w:cs="宋体"/>
          <w:spacing w:val="-1"/>
          <w:sz w:val="21"/>
          <w:szCs w:val="21"/>
        </w:rPr>
        <w:t>投标人须知</w:t>
      </w:r>
      <w:r>
        <w:rPr>
          <w:rFonts w:ascii="Calibri" w:hAnsi="Calibri" w:eastAsia="Calibri" w:cs="Calibri"/>
          <w:spacing w:val="-1"/>
          <w:sz w:val="21"/>
          <w:szCs w:val="21"/>
        </w:rPr>
        <w:t>”</w:t>
      </w:r>
      <w:r>
        <w:rPr>
          <w:rFonts w:ascii="宋体" w:hAnsi="宋体" w:eastAsia="宋体" w:cs="宋体"/>
          <w:spacing w:val="-1"/>
          <w:sz w:val="21"/>
          <w:szCs w:val="21"/>
        </w:rPr>
        <w:t>第</w:t>
      </w:r>
      <w:r>
        <w:rPr>
          <w:rFonts w:ascii="Calibri" w:hAnsi="Calibri" w:eastAsia="Calibri" w:cs="Calibri"/>
          <w:spacing w:val="-1"/>
          <w:sz w:val="21"/>
          <w:szCs w:val="21"/>
        </w:rPr>
        <w:t>5.1</w:t>
      </w:r>
      <w:r>
        <w:rPr>
          <w:rFonts w:ascii="宋体" w:hAnsi="宋体" w:eastAsia="宋体" w:cs="宋体"/>
          <w:spacing w:val="1"/>
          <w:sz w:val="21"/>
          <w:szCs w:val="21"/>
        </w:rPr>
        <w:t>款规定的时间和地点对通过投标文件第一个信封（商务及技术文件）评审的投标文件第二</w:t>
      </w:r>
      <w:r>
        <w:rPr>
          <w:rFonts w:ascii="宋体" w:hAnsi="宋体" w:eastAsia="宋体" w:cs="宋体"/>
          <w:spacing w:val="-2"/>
          <w:sz w:val="21"/>
          <w:szCs w:val="21"/>
        </w:rPr>
        <w:t>个信封（报价文件）进行开标。</w:t>
      </w:r>
    </w:p>
    <w:p w14:paraId="11B91112">
      <w:pPr>
        <w:spacing w:before="60" w:line="219" w:lineRule="auto"/>
        <w:ind w:left="21"/>
        <w:outlineLvl w:val="3"/>
        <w:rPr>
          <w:rFonts w:ascii="黑体" w:hAnsi="黑体" w:eastAsia="黑体" w:cs="黑体"/>
          <w:sz w:val="24"/>
          <w:szCs w:val="24"/>
        </w:rPr>
      </w:pPr>
      <w:r>
        <w:rPr>
          <w:rFonts w:ascii="Times New Roman" w:hAnsi="Times New Roman" w:eastAsia="Times New Roman" w:cs="Times New Roman"/>
          <w:spacing w:val="-1"/>
          <w:sz w:val="24"/>
          <w:szCs w:val="24"/>
        </w:rPr>
        <w:t>3.4</w:t>
      </w:r>
      <w:r>
        <w:rPr>
          <w:rFonts w:ascii="黑体" w:hAnsi="黑体" w:eastAsia="黑体" w:cs="黑体"/>
          <w:spacing w:val="-1"/>
          <w:sz w:val="24"/>
          <w:szCs w:val="24"/>
        </w:rPr>
        <w:t>第二个信封初步评审</w:t>
      </w:r>
    </w:p>
    <w:p w14:paraId="70DBBB15">
      <w:pPr>
        <w:spacing w:before="176" w:line="344" w:lineRule="auto"/>
        <w:ind w:left="18" w:right="4" w:firstLine="423"/>
        <w:rPr>
          <w:rFonts w:ascii="宋体" w:hAnsi="宋体" w:eastAsia="宋体" w:cs="宋体"/>
          <w:sz w:val="21"/>
          <w:szCs w:val="21"/>
        </w:rPr>
      </w:pPr>
      <w:r>
        <w:rPr>
          <w:rFonts w:ascii="Calibri" w:hAnsi="Calibri" w:eastAsia="Calibri" w:cs="Calibri"/>
          <w:spacing w:val="-2"/>
          <w:sz w:val="21"/>
          <w:szCs w:val="21"/>
        </w:rPr>
        <w:t>3.4.1</w:t>
      </w:r>
      <w:r>
        <w:rPr>
          <w:rFonts w:ascii="宋体" w:hAnsi="宋体" w:eastAsia="宋体" w:cs="宋体"/>
          <w:spacing w:val="-2"/>
          <w:sz w:val="21"/>
          <w:szCs w:val="21"/>
        </w:rPr>
        <w:t>评标委员会依据本章第</w:t>
      </w:r>
      <w:r>
        <w:rPr>
          <w:rFonts w:ascii="Calibri" w:hAnsi="Calibri" w:eastAsia="Calibri" w:cs="Calibri"/>
          <w:spacing w:val="-2"/>
          <w:sz w:val="21"/>
          <w:szCs w:val="21"/>
        </w:rPr>
        <w:t>2.1.1</w:t>
      </w:r>
      <w:r>
        <w:rPr>
          <w:rFonts w:ascii="宋体" w:hAnsi="宋体" w:eastAsia="宋体" w:cs="宋体"/>
          <w:spacing w:val="-2"/>
          <w:sz w:val="21"/>
          <w:szCs w:val="21"/>
        </w:rPr>
        <w:t>项、第</w:t>
      </w:r>
      <w:r>
        <w:rPr>
          <w:rFonts w:ascii="Calibri" w:hAnsi="Calibri" w:eastAsia="Calibri" w:cs="Calibri"/>
          <w:spacing w:val="-2"/>
          <w:sz w:val="21"/>
          <w:szCs w:val="21"/>
        </w:rPr>
        <w:t>2.1.3</w:t>
      </w:r>
      <w:r>
        <w:rPr>
          <w:rFonts w:ascii="宋体" w:hAnsi="宋体" w:eastAsia="宋体" w:cs="宋体"/>
          <w:spacing w:val="-2"/>
          <w:sz w:val="21"/>
          <w:szCs w:val="21"/>
        </w:rPr>
        <w:t>项规定的评审标准对投标文件第二个信</w:t>
      </w:r>
      <w:r>
        <w:rPr>
          <w:rFonts w:ascii="宋体" w:hAnsi="宋体" w:eastAsia="宋体" w:cs="宋体"/>
          <w:sz w:val="21"/>
          <w:szCs w:val="21"/>
        </w:rPr>
        <w:t>封（报价文件）进行初步评审。有一项不符合评审</w:t>
      </w:r>
      <w:r>
        <w:rPr>
          <w:rFonts w:ascii="宋体" w:hAnsi="宋体" w:eastAsia="宋体" w:cs="宋体"/>
          <w:spacing w:val="-1"/>
          <w:sz w:val="21"/>
          <w:szCs w:val="21"/>
        </w:rPr>
        <w:t>标准的，评标委员会应否决其投标。</w:t>
      </w:r>
    </w:p>
    <w:p w14:paraId="550CF87C">
      <w:pPr>
        <w:spacing w:before="35" w:line="219" w:lineRule="auto"/>
        <w:ind w:right="4"/>
        <w:jc w:val="right"/>
        <w:rPr>
          <w:rFonts w:ascii="宋体" w:hAnsi="宋体" w:eastAsia="宋体" w:cs="宋体"/>
          <w:sz w:val="21"/>
          <w:szCs w:val="21"/>
        </w:rPr>
      </w:pPr>
      <w:r>
        <w:rPr>
          <w:rFonts w:ascii="Calibri" w:hAnsi="Calibri" w:eastAsia="Calibri" w:cs="Calibri"/>
          <w:spacing w:val="2"/>
          <w:sz w:val="21"/>
          <w:szCs w:val="21"/>
        </w:rPr>
        <w:t>3.4.2</w:t>
      </w:r>
      <w:r>
        <w:rPr>
          <w:rFonts w:ascii="宋体" w:hAnsi="宋体" w:eastAsia="宋体" w:cs="宋体"/>
          <w:spacing w:val="2"/>
          <w:position w:val="6"/>
          <w:sz w:val="11"/>
          <w:szCs w:val="11"/>
        </w:rPr>
        <w:t>①</w:t>
      </w:r>
      <w:r>
        <w:rPr>
          <w:rFonts w:ascii="宋体" w:hAnsi="宋体" w:eastAsia="宋体" w:cs="宋体"/>
          <w:spacing w:val="2"/>
          <w:sz w:val="21"/>
          <w:szCs w:val="21"/>
        </w:rPr>
        <w:t>投标报价有算术错误的，评标</w:t>
      </w:r>
      <w:r>
        <w:rPr>
          <w:rFonts w:ascii="宋体" w:hAnsi="宋体" w:eastAsia="宋体" w:cs="宋体"/>
          <w:spacing w:val="1"/>
          <w:sz w:val="21"/>
          <w:szCs w:val="21"/>
        </w:rPr>
        <w:t>委员会按以下原则对投标报价进行修正，修正的</w:t>
      </w:r>
    </w:p>
    <w:p w14:paraId="7DD3E7C6">
      <w:pPr>
        <w:pStyle w:val="2"/>
        <w:spacing w:line="459" w:lineRule="auto"/>
      </w:pPr>
      <w: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245745</wp:posOffset>
                </wp:positionV>
                <wp:extent cx="182943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1829435" cy="9525"/>
                        </a:xfrm>
                        <a:custGeom>
                          <a:avLst/>
                          <a:gdLst/>
                          <a:ahLst/>
                          <a:cxnLst/>
                          <a:pathLst>
                            <a:path w="2881" h="15">
                              <a:moveTo>
                                <a:pt x="0" y="14"/>
                              </a:moveTo>
                              <a:lnTo>
                                <a:pt x="2880" y="14"/>
                              </a:lnTo>
                              <a:lnTo>
                                <a:pt x="288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55pt;margin-top:19.35pt;height:0.75pt;width:144.05pt;z-index:251661312;mso-width-relative:page;mso-height-relative:page;" fillcolor="#000000" filled="t" stroked="f" coordsize="2881,15" o:gfxdata="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ZEkcNUAAAAHAQAADwAAAAAAAAAB&#10;ACAAAAAiAAAAZHJzL2Rvd25yZXYueG1sUEsBAhQAFAAAAAgAh07iQFb5+LETAgAAfAQAAA4AAAAA&#10;AAAAAQAgAAAAJAEAAGRycy9lMm9Eb2MueG1sUEsFBgAAAAAGAAYAWQEAAKkFAAAAAA==&#10;" path="m0,14l2880,14,2880,0,0,0,0,14xe">
                <v:fill on="t" focussize="0,0"/>
                <v:stroke on="f"/>
                <v:imagedata o:title=""/>
                <o:lock v:ext="edit" aspectratio="f"/>
              </v:shape>
            </w:pict>
          </mc:Fallback>
        </mc:AlternateContent>
      </w:r>
    </w:p>
    <w:p w14:paraId="3315BE89">
      <w:pPr>
        <w:spacing w:before="59" w:line="233" w:lineRule="auto"/>
        <w:ind w:left="18" w:right="7" w:hanging="4"/>
        <w:jc w:val="both"/>
        <w:rPr>
          <w:rFonts w:ascii="宋体" w:hAnsi="宋体" w:eastAsia="宋体" w:cs="宋体"/>
          <w:sz w:val="18"/>
          <w:szCs w:val="18"/>
        </w:rPr>
      </w:pPr>
      <w:r>
        <w:rPr>
          <w:rFonts w:ascii="宋体" w:hAnsi="宋体" w:eastAsia="宋体" w:cs="宋体"/>
          <w:spacing w:val="5"/>
          <w:position w:val="5"/>
          <w:sz w:val="9"/>
          <w:szCs w:val="9"/>
        </w:rPr>
        <w:t>①</w:t>
      </w:r>
      <w:r>
        <w:rPr>
          <w:rFonts w:ascii="宋体" w:hAnsi="宋体" w:eastAsia="宋体" w:cs="宋体"/>
          <w:spacing w:val="5"/>
          <w:sz w:val="18"/>
          <w:szCs w:val="18"/>
        </w:rPr>
        <w:t>如本项目招标由投标人按照招标人提供的书面工程量清单填写本合同各工程子目的单价、合价和总额</w:t>
      </w:r>
      <w:r>
        <w:rPr>
          <w:rFonts w:ascii="宋体" w:hAnsi="宋体" w:eastAsia="宋体" w:cs="宋体"/>
          <w:spacing w:val="-1"/>
          <w:sz w:val="18"/>
          <w:szCs w:val="18"/>
        </w:rPr>
        <w:t>价，则评标委员会按照本章第</w:t>
      </w:r>
      <w:r>
        <w:rPr>
          <w:rFonts w:ascii="Calibri" w:hAnsi="Calibri" w:eastAsia="Calibri" w:cs="Calibri"/>
          <w:spacing w:val="-1"/>
          <w:sz w:val="18"/>
          <w:szCs w:val="18"/>
        </w:rPr>
        <w:t>3.4.2</w:t>
      </w:r>
      <w:r>
        <w:rPr>
          <w:rFonts w:ascii="宋体" w:hAnsi="宋体" w:eastAsia="宋体" w:cs="宋体"/>
          <w:spacing w:val="-1"/>
          <w:sz w:val="18"/>
          <w:szCs w:val="18"/>
        </w:rPr>
        <w:t>项和第</w:t>
      </w:r>
      <w:r>
        <w:rPr>
          <w:rFonts w:ascii="Calibri" w:hAnsi="Calibri" w:eastAsia="Calibri" w:cs="Calibri"/>
          <w:spacing w:val="-1"/>
          <w:sz w:val="18"/>
          <w:szCs w:val="18"/>
        </w:rPr>
        <w:t>3.4.3</w:t>
      </w:r>
      <w:r>
        <w:rPr>
          <w:rFonts w:ascii="宋体" w:hAnsi="宋体" w:eastAsia="宋体" w:cs="宋体"/>
          <w:spacing w:val="-1"/>
          <w:sz w:val="18"/>
          <w:szCs w:val="18"/>
        </w:rPr>
        <w:t>项的规定对投标人的投标报价进行修正。如本项目招标由投标人按照招标人提供的工程量固化清单电子文件填写工程量清单，无须按照本章第</w:t>
      </w:r>
      <w:r>
        <w:rPr>
          <w:rFonts w:ascii="Calibri" w:hAnsi="Calibri" w:eastAsia="Calibri" w:cs="Calibri"/>
          <w:spacing w:val="-1"/>
          <w:sz w:val="18"/>
          <w:szCs w:val="18"/>
        </w:rPr>
        <w:t>3.4.2</w:t>
      </w:r>
      <w:r>
        <w:rPr>
          <w:rFonts w:ascii="宋体" w:hAnsi="宋体" w:eastAsia="宋体" w:cs="宋体"/>
          <w:spacing w:val="-1"/>
          <w:sz w:val="18"/>
          <w:szCs w:val="18"/>
        </w:rPr>
        <w:t>项</w:t>
      </w:r>
      <w:r>
        <w:rPr>
          <w:rFonts w:ascii="宋体" w:hAnsi="宋体" w:eastAsia="宋体" w:cs="宋体"/>
          <w:spacing w:val="-2"/>
          <w:sz w:val="18"/>
          <w:szCs w:val="18"/>
        </w:rPr>
        <w:t>和第</w:t>
      </w:r>
      <w:r>
        <w:rPr>
          <w:rFonts w:ascii="Calibri" w:hAnsi="Calibri" w:eastAsia="Calibri" w:cs="Calibri"/>
          <w:spacing w:val="-2"/>
          <w:sz w:val="18"/>
          <w:szCs w:val="18"/>
        </w:rPr>
        <w:t>3.4.3</w:t>
      </w:r>
      <w:r>
        <w:rPr>
          <w:rFonts w:ascii="宋体" w:hAnsi="宋体" w:eastAsia="宋体" w:cs="宋体"/>
          <w:spacing w:val="-2"/>
          <w:sz w:val="18"/>
          <w:szCs w:val="18"/>
        </w:rPr>
        <w:t>项</w:t>
      </w:r>
    </w:p>
    <w:p w14:paraId="43DC97D5">
      <w:pPr>
        <w:spacing w:line="233" w:lineRule="auto"/>
        <w:rPr>
          <w:rFonts w:ascii="宋体" w:hAnsi="宋体" w:eastAsia="宋体" w:cs="宋体"/>
          <w:sz w:val="18"/>
          <w:szCs w:val="18"/>
        </w:rPr>
        <w:sectPr>
          <w:footerReference r:id="rId16" w:type="default"/>
          <w:pgSz w:w="11912" w:h="16851"/>
          <w:pgMar w:top="400" w:right="1786" w:bottom="1025" w:left="1786" w:header="0" w:footer="861" w:gutter="0"/>
          <w:cols w:space="720" w:num="1"/>
        </w:sectPr>
      </w:pPr>
    </w:p>
    <w:p w14:paraId="462138A5">
      <w:pPr>
        <w:pStyle w:val="2"/>
        <w:spacing w:line="248" w:lineRule="auto"/>
      </w:pPr>
    </w:p>
    <w:p w14:paraId="237B0134">
      <w:pPr>
        <w:pStyle w:val="2"/>
        <w:spacing w:line="249" w:lineRule="auto"/>
      </w:pPr>
    </w:p>
    <w:p w14:paraId="399890F7">
      <w:pPr>
        <w:pStyle w:val="2"/>
        <w:spacing w:line="249" w:lineRule="auto"/>
      </w:pPr>
    </w:p>
    <w:p w14:paraId="671DB233">
      <w:pPr>
        <w:pStyle w:val="2"/>
        <w:spacing w:line="249" w:lineRule="auto"/>
      </w:pPr>
    </w:p>
    <w:p w14:paraId="6A2C0182">
      <w:pPr>
        <w:spacing w:before="68" w:line="346" w:lineRule="auto"/>
        <w:ind w:left="20" w:right="5"/>
        <w:rPr>
          <w:rFonts w:ascii="宋体" w:hAnsi="宋体" w:eastAsia="宋体" w:cs="宋体"/>
          <w:sz w:val="21"/>
          <w:szCs w:val="21"/>
        </w:rPr>
      </w:pPr>
      <w:r>
        <w:rPr>
          <w:rFonts w:ascii="宋体" w:hAnsi="宋体" w:eastAsia="宋体" w:cs="宋体"/>
          <w:spacing w:val="3"/>
          <w:sz w:val="21"/>
          <w:szCs w:val="21"/>
        </w:rPr>
        <w:t>价格经投标人书面确认后具有约束力。投标人不接受修正价格的，评标委员会应否决其投</w:t>
      </w:r>
      <w:r>
        <w:rPr>
          <w:rFonts w:ascii="宋体" w:hAnsi="宋体" w:eastAsia="宋体" w:cs="宋体"/>
          <w:spacing w:val="-10"/>
          <w:sz w:val="21"/>
          <w:szCs w:val="21"/>
        </w:rPr>
        <w:t>标。</w:t>
      </w:r>
    </w:p>
    <w:p w14:paraId="14351B1A">
      <w:pPr>
        <w:spacing w:before="28" w:line="221" w:lineRule="auto"/>
        <w:ind w:left="445"/>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1</w:t>
      </w:r>
      <w:r>
        <w:rPr>
          <w:rFonts w:ascii="宋体" w:hAnsi="宋体" w:eastAsia="宋体" w:cs="宋体"/>
          <w:sz w:val="21"/>
          <w:szCs w:val="21"/>
        </w:rPr>
        <w:t>）投标文件中的大写金额与小写金额不一致</w:t>
      </w:r>
      <w:r>
        <w:rPr>
          <w:rFonts w:ascii="宋体" w:hAnsi="宋体" w:eastAsia="宋体" w:cs="宋体"/>
          <w:spacing w:val="-1"/>
          <w:sz w:val="21"/>
          <w:szCs w:val="21"/>
        </w:rPr>
        <w:t>的，以大写金额为准；</w:t>
      </w:r>
    </w:p>
    <w:p w14:paraId="01DF8946">
      <w:pPr>
        <w:spacing w:before="159" w:line="296" w:lineRule="auto"/>
        <w:ind w:left="20" w:right="8" w:firstLine="425"/>
        <w:rPr>
          <w:rFonts w:ascii="Calibri" w:hAnsi="Calibri" w:eastAsia="Calibri" w:cs="Calibri"/>
          <w:sz w:val="21"/>
          <w:szCs w:val="21"/>
        </w:rPr>
      </w:pPr>
      <w:r>
        <w:rPr>
          <w:rFonts w:ascii="宋体" w:hAnsi="宋体" w:eastAsia="宋体" w:cs="宋体"/>
          <w:spacing w:val="3"/>
          <w:sz w:val="21"/>
          <w:szCs w:val="21"/>
        </w:rPr>
        <w:t>（</w:t>
      </w:r>
      <w:r>
        <w:rPr>
          <w:rFonts w:ascii="Calibri" w:hAnsi="Calibri" w:eastAsia="Calibri" w:cs="Calibri"/>
          <w:spacing w:val="3"/>
          <w:sz w:val="21"/>
          <w:szCs w:val="21"/>
        </w:rPr>
        <w:t>2</w:t>
      </w:r>
      <w:r>
        <w:rPr>
          <w:rFonts w:ascii="宋体" w:hAnsi="宋体" w:eastAsia="宋体" w:cs="宋体"/>
          <w:spacing w:val="3"/>
          <w:sz w:val="21"/>
          <w:szCs w:val="21"/>
        </w:rPr>
        <w:t>）总价金额与依据单价计算出的结果不一致的，以单价金额为准修正总价</w:t>
      </w:r>
      <w:r>
        <w:rPr>
          <w:rFonts w:ascii="宋体" w:hAnsi="宋体" w:eastAsia="宋体" w:cs="宋体"/>
          <w:spacing w:val="2"/>
          <w:sz w:val="21"/>
          <w:szCs w:val="21"/>
        </w:rPr>
        <w:t>，但单</w:t>
      </w:r>
      <w:r>
        <w:rPr>
          <w:rFonts w:ascii="宋体" w:hAnsi="宋体" w:eastAsia="宋体" w:cs="宋体"/>
          <w:spacing w:val="-1"/>
          <w:sz w:val="21"/>
          <w:szCs w:val="21"/>
        </w:rPr>
        <w:t>价金额小数点有明显错误的除外</w:t>
      </w:r>
      <w:r>
        <w:rPr>
          <w:rFonts w:ascii="Calibri" w:hAnsi="Calibri" w:eastAsia="Calibri" w:cs="Calibri"/>
          <w:spacing w:val="-1"/>
          <w:sz w:val="21"/>
          <w:szCs w:val="21"/>
        </w:rPr>
        <w:t>;</w:t>
      </w:r>
    </w:p>
    <w:p w14:paraId="1F0D355B">
      <w:pPr>
        <w:spacing w:before="142" w:line="289" w:lineRule="auto"/>
        <w:ind w:left="17" w:right="5" w:firstLine="427"/>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3</w:t>
      </w:r>
      <w:r>
        <w:rPr>
          <w:rFonts w:ascii="宋体" w:hAnsi="宋体" w:eastAsia="宋体" w:cs="宋体"/>
          <w:sz w:val="21"/>
          <w:szCs w:val="21"/>
        </w:rPr>
        <w:t>）当单价与数量相乘不等于合价时，以单价计算为准，如果单价有明显的小数点位</w:t>
      </w:r>
      <w:r>
        <w:rPr>
          <w:rFonts w:ascii="宋体" w:hAnsi="宋体" w:eastAsia="宋体" w:cs="宋体"/>
          <w:spacing w:val="-1"/>
          <w:sz w:val="21"/>
          <w:szCs w:val="21"/>
        </w:rPr>
        <w:t>置差错，应以标出的合价为准，同时对单价予</w:t>
      </w:r>
      <w:r>
        <w:rPr>
          <w:rFonts w:ascii="宋体" w:hAnsi="宋体" w:eastAsia="宋体" w:cs="宋体"/>
          <w:spacing w:val="-2"/>
          <w:sz w:val="21"/>
          <w:szCs w:val="21"/>
        </w:rPr>
        <w:t>以修正；</w:t>
      </w:r>
    </w:p>
    <w:p w14:paraId="5CAEE505">
      <w:pPr>
        <w:spacing w:before="161" w:line="219" w:lineRule="auto"/>
        <w:ind w:left="445"/>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4</w:t>
      </w:r>
      <w:r>
        <w:rPr>
          <w:rFonts w:ascii="宋体" w:hAnsi="宋体" w:eastAsia="宋体" w:cs="宋体"/>
          <w:spacing w:val="-1"/>
          <w:sz w:val="21"/>
          <w:szCs w:val="21"/>
        </w:rPr>
        <w:t>）当各子目的合价累计不等于总价时，应以各子目合价累计数为准，修正总价。</w:t>
      </w:r>
    </w:p>
    <w:p w14:paraId="0E28C80C">
      <w:pPr>
        <w:spacing w:before="159" w:line="219" w:lineRule="auto"/>
        <w:ind w:right="5"/>
        <w:jc w:val="right"/>
        <w:rPr>
          <w:rFonts w:ascii="宋体" w:hAnsi="宋体" w:eastAsia="宋体" w:cs="宋体"/>
          <w:sz w:val="21"/>
          <w:szCs w:val="21"/>
        </w:rPr>
      </w:pPr>
      <w:r>
        <w:rPr>
          <w:rFonts w:ascii="Calibri" w:hAnsi="Calibri" w:eastAsia="Calibri" w:cs="Calibri"/>
          <w:sz w:val="21"/>
          <w:szCs w:val="21"/>
        </w:rPr>
        <w:t>3.4.3</w:t>
      </w:r>
      <w:r>
        <w:rPr>
          <w:rFonts w:ascii="宋体" w:hAnsi="宋体" w:eastAsia="宋体" w:cs="宋体"/>
          <w:sz w:val="21"/>
          <w:szCs w:val="21"/>
        </w:rPr>
        <w:t>工程量清单中的投标报价有其他错误的，评标委员会按以下</w:t>
      </w:r>
      <w:r>
        <w:rPr>
          <w:rFonts w:ascii="宋体" w:hAnsi="宋体" w:eastAsia="宋体" w:cs="宋体"/>
          <w:spacing w:val="-1"/>
          <w:sz w:val="21"/>
          <w:szCs w:val="21"/>
        </w:rPr>
        <w:t>原则对投标报价进行</w:t>
      </w:r>
    </w:p>
    <w:p w14:paraId="25B58D57">
      <w:pPr>
        <w:spacing w:before="160" w:line="345" w:lineRule="auto"/>
        <w:ind w:left="18" w:right="5"/>
        <w:rPr>
          <w:rFonts w:ascii="宋体" w:hAnsi="宋体" w:eastAsia="宋体" w:cs="宋体"/>
          <w:sz w:val="21"/>
          <w:szCs w:val="21"/>
        </w:rPr>
      </w:pPr>
      <w:r>
        <w:rPr>
          <w:rFonts w:ascii="宋体" w:hAnsi="宋体" w:eastAsia="宋体" w:cs="宋体"/>
          <w:spacing w:val="3"/>
          <w:sz w:val="21"/>
          <w:szCs w:val="21"/>
        </w:rPr>
        <w:t>修正，修正的价格经投标人书面确认后具有约束力。投标人不接受修正价格的，评标委员</w:t>
      </w:r>
      <w:r>
        <w:rPr>
          <w:rFonts w:ascii="宋体" w:hAnsi="宋体" w:eastAsia="宋体" w:cs="宋体"/>
          <w:spacing w:val="-1"/>
          <w:sz w:val="21"/>
          <w:szCs w:val="21"/>
        </w:rPr>
        <w:t>会应否决其投标。</w:t>
      </w:r>
    </w:p>
    <w:p w14:paraId="651242EE">
      <w:pPr>
        <w:spacing w:before="30" w:line="313" w:lineRule="auto"/>
        <w:ind w:left="17" w:right="4" w:firstLine="427"/>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1</w:t>
      </w:r>
      <w:r>
        <w:rPr>
          <w:rFonts w:ascii="宋体" w:hAnsi="宋体" w:eastAsia="宋体" w:cs="宋体"/>
          <w:sz w:val="21"/>
          <w:szCs w:val="21"/>
        </w:rPr>
        <w:t>）在招标人给定的工程量清单中漏报了某个工程子目的单价、合价或总额价，或所</w:t>
      </w:r>
      <w:r>
        <w:rPr>
          <w:rFonts w:ascii="宋体" w:hAnsi="宋体" w:eastAsia="宋体" w:cs="宋体"/>
          <w:spacing w:val="2"/>
          <w:sz w:val="21"/>
          <w:szCs w:val="21"/>
        </w:rPr>
        <w:t>报单价、合价或总额价减少了报价范围，则漏报的工程子目单价、合价和总额价或单价、</w:t>
      </w:r>
      <w:r>
        <w:rPr>
          <w:rFonts w:ascii="宋体" w:hAnsi="宋体" w:eastAsia="宋体" w:cs="宋体"/>
          <w:sz w:val="21"/>
          <w:szCs w:val="21"/>
        </w:rPr>
        <w:t>合价和总额价中减少的报价内容视为已含入其他工程</w:t>
      </w:r>
      <w:r>
        <w:rPr>
          <w:rFonts w:ascii="宋体" w:hAnsi="宋体" w:eastAsia="宋体" w:cs="宋体"/>
          <w:spacing w:val="-1"/>
          <w:sz w:val="21"/>
          <w:szCs w:val="21"/>
        </w:rPr>
        <w:t>子目的单价、合价和总额价之中。</w:t>
      </w:r>
    </w:p>
    <w:p w14:paraId="622402FA">
      <w:pPr>
        <w:spacing w:before="159" w:line="312" w:lineRule="auto"/>
        <w:ind w:left="17" w:right="5" w:firstLine="427"/>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2</w:t>
      </w:r>
      <w:r>
        <w:rPr>
          <w:rFonts w:ascii="宋体" w:hAnsi="宋体" w:eastAsia="宋体" w:cs="宋体"/>
          <w:sz w:val="21"/>
          <w:szCs w:val="21"/>
        </w:rPr>
        <w:t>）在招标人给定的工程量清单中多报了某个工程子目的单价、合价或总额价，或所</w:t>
      </w:r>
      <w:r>
        <w:rPr>
          <w:rFonts w:ascii="宋体" w:hAnsi="宋体" w:eastAsia="宋体" w:cs="宋体"/>
          <w:spacing w:val="3"/>
          <w:sz w:val="21"/>
          <w:szCs w:val="21"/>
        </w:rPr>
        <w:t>报单价、合价或总额价增加了报价范围，则从投标报价中扣除多报的工程子目报价或工程</w:t>
      </w:r>
      <w:r>
        <w:rPr>
          <w:rFonts w:ascii="宋体" w:hAnsi="宋体" w:eastAsia="宋体" w:cs="宋体"/>
          <w:spacing w:val="-1"/>
          <w:sz w:val="21"/>
          <w:szCs w:val="21"/>
        </w:rPr>
        <w:t>子目报价中增加了报价范围的部分报价。</w:t>
      </w:r>
    </w:p>
    <w:p w14:paraId="02B30518">
      <w:pPr>
        <w:spacing w:before="161" w:line="289" w:lineRule="auto"/>
        <w:ind w:left="21" w:right="8" w:firstLine="424"/>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3</w:t>
      </w:r>
      <w:r>
        <w:rPr>
          <w:rFonts w:ascii="宋体" w:hAnsi="宋体" w:eastAsia="宋体" w:cs="宋体"/>
          <w:spacing w:val="2"/>
          <w:sz w:val="21"/>
          <w:szCs w:val="21"/>
        </w:rPr>
        <w:t>）当单价与数量的乘积与合价（金额）虽然一致，但投标人修改了</w:t>
      </w:r>
      <w:r>
        <w:rPr>
          <w:rFonts w:ascii="宋体" w:hAnsi="宋体" w:eastAsia="宋体" w:cs="宋体"/>
          <w:spacing w:val="1"/>
          <w:sz w:val="21"/>
          <w:szCs w:val="21"/>
        </w:rPr>
        <w:t>该子目的工程</w:t>
      </w:r>
      <w:r>
        <w:rPr>
          <w:rFonts w:ascii="宋体" w:hAnsi="宋体" w:eastAsia="宋体" w:cs="宋体"/>
          <w:sz w:val="21"/>
          <w:szCs w:val="21"/>
        </w:rPr>
        <w:t>数量，则其合价按招标人给定的工程数量乘以投标人所报单价予</w:t>
      </w:r>
      <w:r>
        <w:rPr>
          <w:rFonts w:ascii="宋体" w:hAnsi="宋体" w:eastAsia="宋体" w:cs="宋体"/>
          <w:spacing w:val="-1"/>
          <w:sz w:val="21"/>
          <w:szCs w:val="21"/>
        </w:rPr>
        <w:t>以修正。</w:t>
      </w:r>
    </w:p>
    <w:p w14:paraId="4EBC5D1D">
      <w:pPr>
        <w:spacing w:before="158" w:line="346" w:lineRule="auto"/>
        <w:ind w:left="20" w:right="14" w:firstLine="421"/>
        <w:rPr>
          <w:rFonts w:ascii="宋体" w:hAnsi="宋体" w:eastAsia="宋体" w:cs="宋体"/>
          <w:sz w:val="21"/>
          <w:szCs w:val="21"/>
        </w:rPr>
      </w:pPr>
      <w:r>
        <w:rPr>
          <w:rFonts w:ascii="Calibri" w:hAnsi="Calibri" w:eastAsia="Calibri" w:cs="Calibri"/>
          <w:spacing w:val="7"/>
          <w:sz w:val="21"/>
          <w:szCs w:val="21"/>
        </w:rPr>
        <w:t>3.4.4</w:t>
      </w:r>
      <w:r>
        <w:rPr>
          <w:rFonts w:ascii="宋体" w:hAnsi="宋体" w:eastAsia="宋体" w:cs="宋体"/>
          <w:spacing w:val="7"/>
          <w:sz w:val="21"/>
          <w:szCs w:val="21"/>
        </w:rPr>
        <w:t>修正后的最终投标报价若超过最高投标限价（如有</w:t>
      </w:r>
      <w:r>
        <w:rPr>
          <w:rFonts w:ascii="宋体" w:hAnsi="宋体" w:eastAsia="宋体" w:cs="宋体"/>
          <w:spacing w:val="-36"/>
          <w:sz w:val="21"/>
          <w:szCs w:val="21"/>
        </w:rPr>
        <w:t>），</w:t>
      </w:r>
      <w:r>
        <w:rPr>
          <w:rFonts w:ascii="宋体" w:hAnsi="宋体" w:eastAsia="宋体" w:cs="宋体"/>
          <w:spacing w:val="7"/>
          <w:sz w:val="21"/>
          <w:szCs w:val="21"/>
        </w:rPr>
        <w:t>评标委员会应否决其投</w:t>
      </w:r>
      <w:r>
        <w:rPr>
          <w:rFonts w:ascii="宋体" w:hAnsi="宋体" w:eastAsia="宋体" w:cs="宋体"/>
          <w:spacing w:val="-10"/>
          <w:sz w:val="21"/>
          <w:szCs w:val="21"/>
        </w:rPr>
        <w:t>标。</w:t>
      </w:r>
    </w:p>
    <w:p w14:paraId="53CA2C24">
      <w:pPr>
        <w:spacing w:before="60" w:line="219" w:lineRule="auto"/>
        <w:ind w:left="21"/>
        <w:outlineLvl w:val="3"/>
        <w:rPr>
          <w:rFonts w:ascii="黑体" w:hAnsi="黑体" w:eastAsia="黑体" w:cs="黑体"/>
          <w:sz w:val="24"/>
          <w:szCs w:val="24"/>
        </w:rPr>
      </w:pPr>
      <w:r>
        <w:rPr>
          <w:rFonts w:ascii="Times New Roman" w:hAnsi="Times New Roman" w:eastAsia="Times New Roman" w:cs="Times New Roman"/>
          <w:spacing w:val="-1"/>
          <w:sz w:val="24"/>
          <w:szCs w:val="24"/>
        </w:rPr>
        <w:t>3.5</w:t>
      </w:r>
      <w:r>
        <w:rPr>
          <w:rFonts w:ascii="黑体" w:hAnsi="黑体" w:eastAsia="黑体" w:cs="黑体"/>
          <w:spacing w:val="-1"/>
          <w:sz w:val="24"/>
          <w:szCs w:val="24"/>
        </w:rPr>
        <w:t>第二个信封详细评审</w:t>
      </w:r>
    </w:p>
    <w:p w14:paraId="3FD40008">
      <w:pPr>
        <w:spacing w:before="176" w:line="344" w:lineRule="auto"/>
        <w:ind w:left="20" w:right="10" w:firstLine="421"/>
        <w:rPr>
          <w:rFonts w:ascii="宋体" w:hAnsi="宋体" w:eastAsia="宋体" w:cs="宋体"/>
          <w:sz w:val="21"/>
          <w:szCs w:val="21"/>
        </w:rPr>
      </w:pPr>
      <w:r>
        <w:rPr>
          <w:rFonts w:ascii="Calibri" w:hAnsi="Calibri" w:eastAsia="Calibri" w:cs="Calibri"/>
          <w:spacing w:val="2"/>
          <w:sz w:val="21"/>
          <w:szCs w:val="21"/>
        </w:rPr>
        <w:t>3.5.1</w:t>
      </w:r>
      <w:r>
        <w:rPr>
          <w:rFonts w:ascii="宋体" w:hAnsi="宋体" w:eastAsia="宋体" w:cs="宋体"/>
          <w:spacing w:val="2"/>
          <w:sz w:val="21"/>
          <w:szCs w:val="21"/>
        </w:rPr>
        <w:t>评标委员会按本章第</w:t>
      </w:r>
      <w:r>
        <w:rPr>
          <w:rFonts w:ascii="Calibri" w:hAnsi="Calibri" w:eastAsia="Calibri" w:cs="Calibri"/>
          <w:spacing w:val="2"/>
          <w:sz w:val="21"/>
          <w:szCs w:val="21"/>
        </w:rPr>
        <w:t>2.2</w:t>
      </w:r>
      <w:r>
        <w:rPr>
          <w:rFonts w:ascii="宋体" w:hAnsi="宋体" w:eastAsia="宋体" w:cs="宋体"/>
          <w:spacing w:val="2"/>
          <w:sz w:val="21"/>
          <w:szCs w:val="21"/>
        </w:rPr>
        <w:t>款规定的量化因素和标准进行价格折算，计算出评标</w:t>
      </w:r>
      <w:r>
        <w:rPr>
          <w:rFonts w:ascii="宋体" w:hAnsi="宋体" w:eastAsia="宋体" w:cs="宋体"/>
          <w:spacing w:val="-2"/>
          <w:sz w:val="21"/>
          <w:szCs w:val="21"/>
        </w:rPr>
        <w:t>价，并编制价格比较一览表。</w:t>
      </w:r>
    </w:p>
    <w:p w14:paraId="21AAF7CE">
      <w:pPr>
        <w:spacing w:before="32" w:line="353" w:lineRule="auto"/>
        <w:ind w:left="20" w:right="5" w:firstLine="421"/>
        <w:jc w:val="both"/>
        <w:rPr>
          <w:rFonts w:ascii="宋体" w:hAnsi="宋体" w:eastAsia="宋体" w:cs="宋体"/>
          <w:sz w:val="21"/>
          <w:szCs w:val="21"/>
        </w:rPr>
      </w:pPr>
      <w:r>
        <w:rPr>
          <w:rFonts w:ascii="Calibri" w:hAnsi="Calibri" w:eastAsia="Calibri" w:cs="Calibri"/>
          <w:sz w:val="21"/>
          <w:szCs w:val="21"/>
        </w:rPr>
        <w:t>3.5.2</w:t>
      </w:r>
      <w:r>
        <w:rPr>
          <w:rFonts w:ascii="宋体" w:hAnsi="宋体" w:eastAsia="宋体" w:cs="宋体"/>
          <w:sz w:val="21"/>
          <w:szCs w:val="21"/>
        </w:rPr>
        <w:t>评标委员会发现投标人的报价明显低于其他投标报价，使得其投</w:t>
      </w:r>
      <w:r>
        <w:rPr>
          <w:rFonts w:ascii="宋体" w:hAnsi="宋体" w:eastAsia="宋体" w:cs="宋体"/>
          <w:spacing w:val="-1"/>
          <w:sz w:val="21"/>
          <w:szCs w:val="21"/>
        </w:rPr>
        <w:t>标报价可能低于</w:t>
      </w:r>
      <w:r>
        <w:rPr>
          <w:rFonts w:ascii="宋体" w:hAnsi="宋体" w:eastAsia="宋体" w:cs="宋体"/>
          <w:spacing w:val="3"/>
          <w:sz w:val="21"/>
          <w:szCs w:val="21"/>
        </w:rPr>
        <w:t>其个别成本的，应要求该投标人作出书面说明并提供相应的证明材料。投标人不能合理说明或不能提供相应证明材料的，由评标委员会认定该投标人以低于成本报价竞标，并否决</w:t>
      </w:r>
      <w:r>
        <w:rPr>
          <w:rFonts w:ascii="宋体" w:hAnsi="宋体" w:eastAsia="宋体" w:cs="宋体"/>
          <w:spacing w:val="-2"/>
          <w:sz w:val="21"/>
          <w:szCs w:val="21"/>
        </w:rPr>
        <w:t>其投标。</w:t>
      </w:r>
    </w:p>
    <w:p w14:paraId="516A593A">
      <w:pPr>
        <w:spacing w:before="57" w:line="219" w:lineRule="auto"/>
        <w:ind w:left="21"/>
        <w:outlineLvl w:val="3"/>
        <w:rPr>
          <w:rFonts w:ascii="黑体" w:hAnsi="黑体" w:eastAsia="黑体" w:cs="黑体"/>
          <w:sz w:val="24"/>
          <w:szCs w:val="24"/>
        </w:rPr>
      </w:pPr>
      <w:r>
        <w:rPr>
          <w:rFonts w:ascii="Times New Roman" w:hAnsi="Times New Roman" w:eastAsia="Times New Roman" w:cs="Times New Roman"/>
          <w:spacing w:val="-1"/>
          <w:sz w:val="24"/>
          <w:szCs w:val="24"/>
        </w:rPr>
        <w:t>3.6</w:t>
      </w:r>
      <w:r>
        <w:rPr>
          <w:rFonts w:ascii="黑体" w:hAnsi="黑体" w:eastAsia="黑体" w:cs="黑体"/>
          <w:spacing w:val="-1"/>
          <w:sz w:val="24"/>
          <w:szCs w:val="24"/>
        </w:rPr>
        <w:t>投标文件相关信息的核查</w:t>
      </w:r>
    </w:p>
    <w:p w14:paraId="68EADFCB">
      <w:pPr>
        <w:spacing w:before="173" w:line="351" w:lineRule="auto"/>
        <w:ind w:left="22" w:right="6" w:firstLine="419"/>
        <w:jc w:val="both"/>
        <w:rPr>
          <w:rFonts w:ascii="宋体" w:hAnsi="宋体" w:eastAsia="宋体" w:cs="宋体"/>
          <w:sz w:val="21"/>
          <w:szCs w:val="21"/>
        </w:rPr>
      </w:pPr>
      <w:r>
        <w:rPr>
          <w:rFonts w:ascii="Calibri" w:hAnsi="Calibri" w:eastAsia="Calibri" w:cs="Calibri"/>
          <w:spacing w:val="3"/>
          <w:sz w:val="21"/>
          <w:szCs w:val="21"/>
        </w:rPr>
        <w:t>3.6.1</w:t>
      </w:r>
      <w:r>
        <w:rPr>
          <w:rFonts w:ascii="宋体" w:hAnsi="宋体" w:eastAsia="宋体" w:cs="宋体"/>
          <w:spacing w:val="3"/>
          <w:sz w:val="21"/>
          <w:szCs w:val="21"/>
        </w:rPr>
        <w:t>在评标过程中，评标委员会应查询交通运输主管部门</w:t>
      </w:r>
      <w:r>
        <w:rPr>
          <w:rFonts w:ascii="Calibri" w:hAnsi="Calibri" w:eastAsia="Calibri" w:cs="Calibri"/>
          <w:spacing w:val="3"/>
          <w:sz w:val="21"/>
          <w:szCs w:val="21"/>
        </w:rPr>
        <w:t>“</w:t>
      </w:r>
      <w:r>
        <w:rPr>
          <w:rFonts w:ascii="宋体" w:hAnsi="宋体" w:eastAsia="宋体" w:cs="宋体"/>
          <w:spacing w:val="3"/>
          <w:sz w:val="21"/>
          <w:szCs w:val="21"/>
        </w:rPr>
        <w:t>公路建</w:t>
      </w:r>
      <w:r>
        <w:rPr>
          <w:rFonts w:ascii="宋体" w:hAnsi="宋体" w:eastAsia="宋体" w:cs="宋体"/>
          <w:spacing w:val="2"/>
          <w:sz w:val="21"/>
          <w:szCs w:val="21"/>
        </w:rPr>
        <w:t>设市场信用信息管</w:t>
      </w:r>
      <w:r>
        <w:rPr>
          <w:rFonts w:ascii="宋体" w:hAnsi="宋体" w:eastAsia="宋体" w:cs="宋体"/>
          <w:spacing w:val="1"/>
          <w:sz w:val="21"/>
          <w:szCs w:val="21"/>
        </w:rPr>
        <w:t>理系统</w:t>
      </w:r>
      <w:r>
        <w:rPr>
          <w:rFonts w:ascii="Calibri" w:hAnsi="Calibri" w:eastAsia="Calibri" w:cs="Calibri"/>
          <w:spacing w:val="1"/>
          <w:sz w:val="21"/>
          <w:szCs w:val="21"/>
        </w:rPr>
        <w:t>”</w:t>
      </w:r>
      <w:r>
        <w:rPr>
          <w:rFonts w:ascii="宋体" w:hAnsi="宋体" w:eastAsia="宋体" w:cs="宋体"/>
          <w:spacing w:val="1"/>
          <w:sz w:val="21"/>
          <w:szCs w:val="21"/>
        </w:rPr>
        <w:t>，对投标人的资质、业绩、主要人员资历和目前在岗情</w:t>
      </w:r>
      <w:r>
        <w:rPr>
          <w:rFonts w:ascii="宋体" w:hAnsi="宋体" w:eastAsia="宋体" w:cs="宋体"/>
          <w:sz w:val="21"/>
          <w:szCs w:val="21"/>
        </w:rPr>
        <w:t>况、信用等级等信息进行核</w:t>
      </w:r>
      <w:r>
        <w:rPr>
          <w:rFonts w:ascii="宋体" w:hAnsi="宋体" w:eastAsia="宋体" w:cs="宋体"/>
          <w:spacing w:val="4"/>
          <w:sz w:val="21"/>
          <w:szCs w:val="21"/>
        </w:rPr>
        <w:t>实。若投标文件载明的信息与交通运输主管部门</w:t>
      </w:r>
      <w:r>
        <w:rPr>
          <w:rFonts w:ascii="Calibri" w:hAnsi="Calibri" w:eastAsia="Calibri" w:cs="Calibri"/>
          <w:spacing w:val="4"/>
          <w:sz w:val="21"/>
          <w:szCs w:val="21"/>
        </w:rPr>
        <w:t>“</w:t>
      </w:r>
      <w:r>
        <w:rPr>
          <w:rFonts w:ascii="宋体" w:hAnsi="宋体" w:eastAsia="宋体" w:cs="宋体"/>
          <w:spacing w:val="4"/>
          <w:sz w:val="21"/>
          <w:szCs w:val="21"/>
        </w:rPr>
        <w:t>公路建设市场信用信</w:t>
      </w:r>
      <w:r>
        <w:rPr>
          <w:rFonts w:ascii="宋体" w:hAnsi="宋体" w:eastAsia="宋体" w:cs="宋体"/>
          <w:spacing w:val="3"/>
          <w:sz w:val="21"/>
          <w:szCs w:val="21"/>
        </w:rPr>
        <w:t>息管理系统</w:t>
      </w:r>
      <w:r>
        <w:rPr>
          <w:rFonts w:ascii="Calibri" w:hAnsi="Calibri" w:eastAsia="Calibri" w:cs="Calibri"/>
          <w:spacing w:val="3"/>
          <w:sz w:val="21"/>
          <w:szCs w:val="21"/>
        </w:rPr>
        <w:t>”</w:t>
      </w:r>
      <w:r>
        <w:rPr>
          <w:rFonts w:ascii="宋体" w:hAnsi="宋体" w:eastAsia="宋体" w:cs="宋体"/>
          <w:spacing w:val="3"/>
          <w:sz w:val="21"/>
          <w:szCs w:val="21"/>
        </w:rPr>
        <w:t>发布的</w:t>
      </w:r>
    </w:p>
    <w:p w14:paraId="37756F93">
      <w:pPr>
        <w:pStyle w:val="2"/>
        <w:spacing w:line="470" w:lineRule="auto"/>
      </w:pP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252730</wp:posOffset>
                </wp:positionV>
                <wp:extent cx="528193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281930" cy="9525"/>
                        </a:xfrm>
                        <a:custGeom>
                          <a:avLst/>
                          <a:gdLst/>
                          <a:ahLst/>
                          <a:cxnLst/>
                          <a:pathLst>
                            <a:path w="8317" h="15">
                              <a:moveTo>
                                <a:pt x="0" y="14"/>
                              </a:moveTo>
                              <a:lnTo>
                                <a:pt x="8317" y="14"/>
                              </a:lnTo>
                              <a:lnTo>
                                <a:pt x="831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55pt;margin-top:19.9pt;height:0.75pt;width:415.9pt;z-index:251662336;mso-width-relative:page;mso-height-relative:page;" fillcolor="#000000" filled="t" stroked="f" coordsize="8317,15" o:gfxdata="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Mhty1QAAAAcBAAAPAAAAAAAAAAEA&#10;IAAAACIAAABkcnMvZG93bnJldi54bWxQSwECFAAUAAAACACHTuJANpERKBICAAB8BAAADgAAAAAA&#10;AAABACAAAAAkAQAAZHJzL2Uyb0RvYy54bWxQSwUGAAAAAAYABgBZAQAAqAUAAAAA&#10;" path="m0,14l8317,14,8317,0,0,0,0,14xe">
                <v:fill on="t" focussize="0,0"/>
                <v:stroke on="f"/>
                <v:imagedata o:title=""/>
                <o:lock v:ext="edit" aspectratio="f"/>
              </v:shape>
            </w:pict>
          </mc:Fallback>
        </mc:AlternateContent>
      </w:r>
    </w:p>
    <w:p w14:paraId="493BB744">
      <w:pPr>
        <w:spacing w:before="60" w:line="218" w:lineRule="auto"/>
        <w:ind w:left="33"/>
        <w:rPr>
          <w:rFonts w:ascii="宋体" w:hAnsi="宋体" w:eastAsia="宋体" w:cs="宋体"/>
          <w:sz w:val="18"/>
          <w:szCs w:val="18"/>
        </w:rPr>
      </w:pPr>
      <w:r>
        <w:rPr>
          <w:rFonts w:ascii="宋体" w:hAnsi="宋体" w:eastAsia="宋体" w:cs="宋体"/>
          <w:spacing w:val="-3"/>
          <w:sz w:val="18"/>
          <w:szCs w:val="18"/>
        </w:rPr>
        <w:t>的规定对投标报价进行修正，第</w:t>
      </w:r>
      <w:r>
        <w:rPr>
          <w:rFonts w:ascii="Calibri" w:hAnsi="Calibri" w:eastAsia="Calibri" w:cs="Calibri"/>
          <w:spacing w:val="-3"/>
          <w:sz w:val="18"/>
          <w:szCs w:val="18"/>
        </w:rPr>
        <w:t>3.4.2</w:t>
      </w:r>
      <w:r>
        <w:rPr>
          <w:rFonts w:ascii="宋体" w:hAnsi="宋体" w:eastAsia="宋体" w:cs="宋体"/>
          <w:spacing w:val="-3"/>
          <w:sz w:val="18"/>
          <w:szCs w:val="18"/>
        </w:rPr>
        <w:t>项至第</w:t>
      </w:r>
      <w:r>
        <w:rPr>
          <w:rFonts w:ascii="Calibri" w:hAnsi="Calibri" w:eastAsia="Calibri" w:cs="Calibri"/>
          <w:spacing w:val="-3"/>
          <w:sz w:val="18"/>
          <w:szCs w:val="18"/>
        </w:rPr>
        <w:t>3.4.4</w:t>
      </w:r>
      <w:r>
        <w:rPr>
          <w:rFonts w:ascii="宋体" w:hAnsi="宋体" w:eastAsia="宋体" w:cs="宋体"/>
          <w:spacing w:val="-3"/>
          <w:sz w:val="18"/>
          <w:szCs w:val="18"/>
        </w:rPr>
        <w:t>项内容不适用。</w:t>
      </w:r>
    </w:p>
    <w:p w14:paraId="1F403CBE">
      <w:pPr>
        <w:spacing w:line="218" w:lineRule="auto"/>
        <w:rPr>
          <w:rFonts w:ascii="宋体" w:hAnsi="宋体" w:eastAsia="宋体" w:cs="宋体"/>
          <w:sz w:val="18"/>
          <w:szCs w:val="18"/>
        </w:rPr>
        <w:sectPr>
          <w:footerReference r:id="rId17" w:type="default"/>
          <w:pgSz w:w="11912" w:h="16851"/>
          <w:pgMar w:top="400" w:right="1786" w:bottom="1025" w:left="1786" w:header="0" w:footer="861" w:gutter="0"/>
          <w:cols w:space="720" w:num="1"/>
        </w:sectPr>
      </w:pPr>
    </w:p>
    <w:p w14:paraId="174789E0">
      <w:pPr>
        <w:pStyle w:val="2"/>
        <w:spacing w:line="248" w:lineRule="auto"/>
      </w:pPr>
    </w:p>
    <w:p w14:paraId="7E44E124">
      <w:pPr>
        <w:pStyle w:val="2"/>
        <w:spacing w:line="249" w:lineRule="auto"/>
      </w:pPr>
    </w:p>
    <w:p w14:paraId="0C6DD4F6">
      <w:pPr>
        <w:pStyle w:val="2"/>
        <w:spacing w:line="249" w:lineRule="auto"/>
      </w:pPr>
    </w:p>
    <w:p w14:paraId="3D3A3D55">
      <w:pPr>
        <w:pStyle w:val="2"/>
        <w:spacing w:line="249" w:lineRule="auto"/>
      </w:pPr>
    </w:p>
    <w:p w14:paraId="63C9FE78">
      <w:pPr>
        <w:spacing w:before="68" w:line="220" w:lineRule="auto"/>
        <w:ind w:left="19"/>
        <w:rPr>
          <w:rFonts w:ascii="宋体" w:hAnsi="宋体" w:eastAsia="宋体" w:cs="宋体"/>
          <w:sz w:val="21"/>
          <w:szCs w:val="21"/>
        </w:rPr>
      </w:pPr>
      <w:r>
        <w:rPr>
          <w:rFonts w:ascii="宋体" w:hAnsi="宋体" w:eastAsia="宋体" w:cs="宋体"/>
          <w:spacing w:val="-1"/>
          <w:sz w:val="21"/>
          <w:szCs w:val="21"/>
        </w:rPr>
        <w:t>信息不符，使得投标人的资格条件不符合招标文件规定的，评标委员会应否决其投标。</w:t>
      </w:r>
    </w:p>
    <w:p w14:paraId="5CAC520E">
      <w:pPr>
        <w:spacing w:before="156" w:line="351" w:lineRule="auto"/>
        <w:ind w:left="18" w:right="5" w:firstLine="423"/>
        <w:jc w:val="both"/>
        <w:rPr>
          <w:rFonts w:ascii="宋体" w:hAnsi="宋体" w:eastAsia="宋体" w:cs="宋体"/>
          <w:sz w:val="21"/>
          <w:szCs w:val="21"/>
        </w:rPr>
      </w:pPr>
      <w:r>
        <w:rPr>
          <w:rFonts w:ascii="Calibri" w:hAnsi="Calibri" w:eastAsia="Calibri" w:cs="Calibri"/>
          <w:sz w:val="21"/>
          <w:szCs w:val="21"/>
        </w:rPr>
        <w:t>3.6.2</w:t>
      </w:r>
      <w:r>
        <w:rPr>
          <w:rFonts w:ascii="宋体" w:hAnsi="宋体" w:eastAsia="宋体" w:cs="宋体"/>
          <w:sz w:val="21"/>
          <w:szCs w:val="21"/>
        </w:rPr>
        <w:t>评标委员会应对在评标过程中发现的投标人与投标人之间、投标</w:t>
      </w:r>
      <w:r>
        <w:rPr>
          <w:rFonts w:ascii="宋体" w:hAnsi="宋体" w:eastAsia="宋体" w:cs="宋体"/>
          <w:spacing w:val="-1"/>
          <w:sz w:val="21"/>
          <w:szCs w:val="21"/>
        </w:rPr>
        <w:t>人与招标人之间</w:t>
      </w:r>
      <w:r>
        <w:rPr>
          <w:rFonts w:ascii="宋体" w:hAnsi="宋体" w:eastAsia="宋体" w:cs="宋体"/>
          <w:spacing w:val="3"/>
          <w:sz w:val="21"/>
          <w:szCs w:val="21"/>
        </w:rPr>
        <w:t>存在的串通投标的情形进行评审和认定。投标人存在串通投标、弄虚作假、行贿等违法行</w:t>
      </w:r>
      <w:r>
        <w:rPr>
          <w:rFonts w:ascii="宋体" w:hAnsi="宋体" w:eastAsia="宋体" w:cs="宋体"/>
          <w:spacing w:val="-1"/>
          <w:sz w:val="21"/>
          <w:szCs w:val="21"/>
        </w:rPr>
        <w:t>为的，评标委员会应否决其投标。</w:t>
      </w:r>
    </w:p>
    <w:p w14:paraId="69FDEA17">
      <w:pPr>
        <w:spacing w:before="28" w:line="354" w:lineRule="auto"/>
        <w:ind w:left="440" w:right="2968" w:firstLine="5"/>
        <w:jc w:val="both"/>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1</w:t>
      </w:r>
      <w:r>
        <w:rPr>
          <w:rFonts w:ascii="宋体" w:hAnsi="宋体" w:eastAsia="宋体" w:cs="宋体"/>
          <w:spacing w:val="-1"/>
          <w:sz w:val="21"/>
          <w:szCs w:val="21"/>
        </w:rPr>
        <w:t>）有下列情形之一的，属于投标人相互串通投标：</w:t>
      </w:r>
      <w:r>
        <w:rPr>
          <w:rFonts w:ascii="Calibri" w:hAnsi="Calibri" w:eastAsia="Calibri" w:cs="Calibri"/>
          <w:spacing w:val="-3"/>
          <w:sz w:val="21"/>
          <w:szCs w:val="21"/>
        </w:rPr>
        <w:t>a.</w:t>
      </w:r>
      <w:r>
        <w:rPr>
          <w:rFonts w:ascii="宋体" w:hAnsi="宋体" w:eastAsia="宋体" w:cs="宋体"/>
          <w:spacing w:val="-3"/>
          <w:sz w:val="21"/>
          <w:szCs w:val="21"/>
        </w:rPr>
        <w:t>投标人之间协商投标报价等投标文件的实质性内容；</w:t>
      </w:r>
      <w:r>
        <w:rPr>
          <w:rFonts w:ascii="Calibri" w:hAnsi="Calibri" w:eastAsia="Calibri" w:cs="Calibri"/>
          <w:spacing w:val="-1"/>
          <w:sz w:val="21"/>
          <w:szCs w:val="21"/>
        </w:rPr>
        <w:t>b.</w:t>
      </w:r>
      <w:r>
        <w:rPr>
          <w:rFonts w:ascii="宋体" w:hAnsi="宋体" w:eastAsia="宋体" w:cs="宋体"/>
          <w:spacing w:val="-1"/>
          <w:sz w:val="21"/>
          <w:szCs w:val="21"/>
        </w:rPr>
        <w:t>投标人之间约定中标人；</w:t>
      </w:r>
    </w:p>
    <w:p w14:paraId="2F42BD1B">
      <w:pPr>
        <w:spacing w:before="19" w:line="241" w:lineRule="auto"/>
        <w:ind w:left="440"/>
        <w:rPr>
          <w:rFonts w:ascii="宋体" w:hAnsi="宋体" w:eastAsia="宋体" w:cs="宋体"/>
          <w:sz w:val="21"/>
          <w:szCs w:val="21"/>
        </w:rPr>
      </w:pPr>
      <w:r>
        <w:rPr>
          <w:rFonts w:ascii="Calibri" w:hAnsi="Calibri" w:eastAsia="Calibri" w:cs="Calibri"/>
          <w:spacing w:val="-2"/>
          <w:sz w:val="21"/>
          <w:szCs w:val="21"/>
        </w:rPr>
        <w:t>c.</w:t>
      </w:r>
      <w:r>
        <w:rPr>
          <w:rFonts w:ascii="宋体" w:hAnsi="宋体" w:eastAsia="宋体" w:cs="宋体"/>
          <w:spacing w:val="-2"/>
          <w:sz w:val="21"/>
          <w:szCs w:val="21"/>
        </w:rPr>
        <w:t>投标人之间约定部分投标人放弃投标或中标；</w:t>
      </w:r>
    </w:p>
    <w:p w14:paraId="407E700D">
      <w:pPr>
        <w:spacing w:before="135" w:line="341" w:lineRule="auto"/>
        <w:ind w:left="440" w:right="858"/>
        <w:rPr>
          <w:rFonts w:ascii="宋体" w:hAnsi="宋体" w:eastAsia="宋体" w:cs="宋体"/>
          <w:sz w:val="21"/>
          <w:szCs w:val="21"/>
        </w:rPr>
      </w:pPr>
      <w:r>
        <w:rPr>
          <w:rFonts w:ascii="Calibri" w:hAnsi="Calibri" w:eastAsia="Calibri" w:cs="Calibri"/>
          <w:spacing w:val="-2"/>
          <w:sz w:val="21"/>
          <w:szCs w:val="21"/>
        </w:rPr>
        <w:t>d.</w:t>
      </w:r>
      <w:r>
        <w:rPr>
          <w:rFonts w:ascii="宋体" w:hAnsi="宋体" w:eastAsia="宋体" w:cs="宋体"/>
          <w:spacing w:val="-2"/>
          <w:sz w:val="21"/>
          <w:szCs w:val="21"/>
        </w:rPr>
        <w:t>属于同一集团、协会、商会等组织成员的投标人按照该组织要求协同投标；</w:t>
      </w:r>
      <w:r>
        <w:rPr>
          <w:rFonts w:ascii="Calibri" w:hAnsi="Calibri" w:eastAsia="Calibri" w:cs="Calibri"/>
          <w:sz w:val="21"/>
          <w:szCs w:val="21"/>
        </w:rPr>
        <w:t>e.</w:t>
      </w:r>
      <w:r>
        <w:rPr>
          <w:rFonts w:ascii="宋体" w:hAnsi="宋体" w:eastAsia="宋体" w:cs="宋体"/>
          <w:sz w:val="21"/>
          <w:szCs w:val="21"/>
        </w:rPr>
        <w:t>投标人之间为谋取中标或排斥特定投标人而采取的其他联</w:t>
      </w:r>
      <w:r>
        <w:rPr>
          <w:rFonts w:ascii="宋体" w:hAnsi="宋体" w:eastAsia="宋体" w:cs="宋体"/>
          <w:spacing w:val="-1"/>
          <w:sz w:val="21"/>
          <w:szCs w:val="21"/>
        </w:rPr>
        <w:t>合行动。</w:t>
      </w:r>
    </w:p>
    <w:p w14:paraId="7E8E02E0">
      <w:pPr>
        <w:spacing w:before="41" w:line="359" w:lineRule="auto"/>
        <w:ind w:left="440" w:right="3015" w:firstLine="5"/>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2</w:t>
      </w:r>
      <w:r>
        <w:rPr>
          <w:rFonts w:ascii="宋体" w:hAnsi="宋体" w:eastAsia="宋体" w:cs="宋体"/>
          <w:spacing w:val="-3"/>
          <w:sz w:val="21"/>
          <w:szCs w:val="21"/>
        </w:rPr>
        <w:t>）有下列情形之一的，视为投标人相互串通投标：</w:t>
      </w:r>
      <w:r>
        <w:rPr>
          <w:rFonts w:ascii="Calibri" w:hAnsi="Calibri" w:eastAsia="Calibri" w:cs="Calibri"/>
          <w:spacing w:val="-2"/>
          <w:sz w:val="21"/>
          <w:szCs w:val="21"/>
        </w:rPr>
        <w:t>a.</w:t>
      </w:r>
      <w:r>
        <w:rPr>
          <w:rFonts w:ascii="宋体" w:hAnsi="宋体" w:eastAsia="宋体" w:cs="宋体"/>
          <w:spacing w:val="-2"/>
          <w:sz w:val="21"/>
          <w:szCs w:val="21"/>
        </w:rPr>
        <w:t>不同投标人的投标文件由同一单位或个人编制；</w:t>
      </w:r>
    </w:p>
    <w:p w14:paraId="26795F4A">
      <w:pPr>
        <w:spacing w:line="241" w:lineRule="auto"/>
        <w:ind w:left="447"/>
        <w:rPr>
          <w:rFonts w:ascii="宋体" w:hAnsi="宋体" w:eastAsia="宋体" w:cs="宋体"/>
          <w:sz w:val="21"/>
          <w:szCs w:val="21"/>
        </w:rPr>
      </w:pPr>
      <w:r>
        <w:rPr>
          <w:rFonts w:ascii="Calibri" w:hAnsi="Calibri" w:eastAsia="Calibri" w:cs="Calibri"/>
          <w:spacing w:val="-2"/>
          <w:sz w:val="21"/>
          <w:szCs w:val="21"/>
        </w:rPr>
        <w:t>b.</w:t>
      </w:r>
      <w:r>
        <w:rPr>
          <w:rFonts w:ascii="宋体" w:hAnsi="宋体" w:eastAsia="宋体" w:cs="宋体"/>
          <w:spacing w:val="-2"/>
          <w:sz w:val="21"/>
          <w:szCs w:val="21"/>
        </w:rPr>
        <w:t>不同投标人委托同一单位或个人办理投标事宜；</w:t>
      </w:r>
    </w:p>
    <w:p w14:paraId="7D022633">
      <w:pPr>
        <w:spacing w:before="134" w:line="241" w:lineRule="auto"/>
        <w:ind w:left="440"/>
        <w:rPr>
          <w:rFonts w:ascii="宋体" w:hAnsi="宋体" w:eastAsia="宋体" w:cs="宋体"/>
          <w:sz w:val="21"/>
          <w:szCs w:val="21"/>
        </w:rPr>
      </w:pPr>
      <w:r>
        <w:rPr>
          <w:rFonts w:ascii="Calibri" w:hAnsi="Calibri" w:eastAsia="Calibri" w:cs="Calibri"/>
          <w:spacing w:val="-1"/>
          <w:sz w:val="21"/>
          <w:szCs w:val="21"/>
        </w:rPr>
        <w:t>c.</w:t>
      </w:r>
      <w:r>
        <w:rPr>
          <w:rFonts w:ascii="宋体" w:hAnsi="宋体" w:eastAsia="宋体" w:cs="宋体"/>
          <w:spacing w:val="-1"/>
          <w:sz w:val="21"/>
          <w:szCs w:val="21"/>
        </w:rPr>
        <w:t>不同投标人的投标文件载明的项目管理成员为</w:t>
      </w:r>
      <w:r>
        <w:rPr>
          <w:rFonts w:ascii="宋体" w:hAnsi="宋体" w:eastAsia="宋体" w:cs="宋体"/>
          <w:spacing w:val="-2"/>
          <w:sz w:val="21"/>
          <w:szCs w:val="21"/>
        </w:rPr>
        <w:t>同一人；</w:t>
      </w:r>
    </w:p>
    <w:p w14:paraId="2CCF5B22">
      <w:pPr>
        <w:spacing w:before="134" w:line="342" w:lineRule="auto"/>
        <w:ind w:left="440" w:right="2327"/>
        <w:rPr>
          <w:rFonts w:ascii="宋体" w:hAnsi="宋体" w:eastAsia="宋体" w:cs="宋体"/>
          <w:sz w:val="21"/>
          <w:szCs w:val="21"/>
        </w:rPr>
      </w:pPr>
      <w:r>
        <w:rPr>
          <w:rFonts w:ascii="Calibri" w:hAnsi="Calibri" w:eastAsia="Calibri" w:cs="Calibri"/>
          <w:spacing w:val="-2"/>
          <w:sz w:val="21"/>
          <w:szCs w:val="21"/>
        </w:rPr>
        <w:t>d.</w:t>
      </w:r>
      <w:r>
        <w:rPr>
          <w:rFonts w:ascii="宋体" w:hAnsi="宋体" w:eastAsia="宋体" w:cs="宋体"/>
          <w:spacing w:val="-2"/>
          <w:sz w:val="21"/>
          <w:szCs w:val="21"/>
        </w:rPr>
        <w:t>不同投标人的投标文件异常一致或投标报价呈规律性差异；</w:t>
      </w:r>
      <w:r>
        <w:rPr>
          <w:rFonts w:ascii="Calibri" w:hAnsi="Calibri" w:eastAsia="Calibri" w:cs="Calibri"/>
          <w:spacing w:val="-2"/>
          <w:sz w:val="21"/>
          <w:szCs w:val="21"/>
        </w:rPr>
        <w:t>e.</w:t>
      </w:r>
      <w:r>
        <w:rPr>
          <w:rFonts w:ascii="宋体" w:hAnsi="宋体" w:eastAsia="宋体" w:cs="宋体"/>
          <w:spacing w:val="-2"/>
          <w:sz w:val="21"/>
          <w:szCs w:val="21"/>
        </w:rPr>
        <w:t>不同投标人的投标文件相互混装；</w:t>
      </w:r>
    </w:p>
    <w:p w14:paraId="525D1ECC">
      <w:pPr>
        <w:spacing w:before="38" w:line="241" w:lineRule="auto"/>
        <w:ind w:left="435"/>
        <w:rPr>
          <w:rFonts w:ascii="宋体" w:hAnsi="宋体" w:eastAsia="宋体" w:cs="宋体"/>
          <w:sz w:val="21"/>
          <w:szCs w:val="21"/>
        </w:rPr>
      </w:pPr>
      <w:r>
        <w:rPr>
          <w:rFonts w:ascii="Calibri" w:hAnsi="Calibri" w:eastAsia="Calibri" w:cs="Calibri"/>
          <w:spacing w:val="-1"/>
          <w:sz w:val="21"/>
          <w:szCs w:val="21"/>
        </w:rPr>
        <w:t>f.</w:t>
      </w:r>
      <w:r>
        <w:rPr>
          <w:rFonts w:ascii="宋体" w:hAnsi="宋体" w:eastAsia="宋体" w:cs="宋体"/>
          <w:spacing w:val="-1"/>
          <w:sz w:val="21"/>
          <w:szCs w:val="21"/>
        </w:rPr>
        <w:t>不同投标人的投标保证金从同一单位或个</w:t>
      </w:r>
      <w:r>
        <w:rPr>
          <w:rFonts w:ascii="宋体" w:hAnsi="宋体" w:eastAsia="宋体" w:cs="宋体"/>
          <w:spacing w:val="-2"/>
          <w:sz w:val="21"/>
          <w:szCs w:val="21"/>
        </w:rPr>
        <w:t>人的账户转出。</w:t>
      </w:r>
    </w:p>
    <w:p w14:paraId="65DC1F03">
      <w:pPr>
        <w:spacing w:before="137" w:line="221" w:lineRule="auto"/>
        <w:ind w:left="445"/>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3</w:t>
      </w:r>
      <w:r>
        <w:rPr>
          <w:rFonts w:ascii="宋体" w:hAnsi="宋体" w:eastAsia="宋体" w:cs="宋体"/>
          <w:spacing w:val="-2"/>
          <w:sz w:val="21"/>
          <w:szCs w:val="21"/>
        </w:rPr>
        <w:t>）有下列情形之一的，属于招标人与投标人串通投标：</w:t>
      </w:r>
    </w:p>
    <w:p w14:paraId="2A8C3359">
      <w:pPr>
        <w:spacing w:before="157" w:line="347" w:lineRule="auto"/>
        <w:ind w:left="440" w:right="1907"/>
        <w:rPr>
          <w:rFonts w:ascii="宋体" w:hAnsi="宋体" w:eastAsia="宋体" w:cs="宋体"/>
          <w:sz w:val="21"/>
          <w:szCs w:val="21"/>
        </w:rPr>
      </w:pPr>
      <w:r>
        <w:rPr>
          <w:rFonts w:ascii="Calibri" w:hAnsi="Calibri" w:eastAsia="Calibri" w:cs="Calibri"/>
          <w:sz w:val="21"/>
          <w:szCs w:val="21"/>
        </w:rPr>
        <w:t>a.</w:t>
      </w:r>
      <w:r>
        <w:rPr>
          <w:rFonts w:ascii="宋体" w:hAnsi="宋体" w:eastAsia="宋体" w:cs="宋体"/>
          <w:sz w:val="21"/>
          <w:szCs w:val="21"/>
        </w:rPr>
        <w:t>招标人在开标前开启投标文件并将有关信息泄</w:t>
      </w:r>
      <w:r>
        <w:rPr>
          <w:rFonts w:ascii="宋体" w:hAnsi="宋体" w:eastAsia="宋体" w:cs="宋体"/>
          <w:spacing w:val="-1"/>
          <w:sz w:val="21"/>
          <w:szCs w:val="21"/>
        </w:rPr>
        <w:t>露给其他投标人</w:t>
      </w:r>
      <w:r>
        <w:rPr>
          <w:rFonts w:ascii="Calibri" w:hAnsi="Calibri" w:eastAsia="Calibri" w:cs="Calibri"/>
          <w:spacing w:val="-1"/>
          <w:sz w:val="21"/>
          <w:szCs w:val="21"/>
        </w:rPr>
        <w:t>;</w:t>
      </w:r>
      <w:r>
        <w:rPr>
          <w:rFonts w:ascii="Calibri" w:hAnsi="Calibri" w:eastAsia="Calibri" w:cs="Calibri"/>
          <w:spacing w:val="-2"/>
          <w:sz w:val="21"/>
          <w:szCs w:val="21"/>
        </w:rPr>
        <w:t>b.</w:t>
      </w:r>
      <w:r>
        <w:rPr>
          <w:rFonts w:ascii="宋体" w:hAnsi="宋体" w:eastAsia="宋体" w:cs="宋体"/>
          <w:spacing w:val="-2"/>
          <w:sz w:val="21"/>
          <w:szCs w:val="21"/>
        </w:rPr>
        <w:t>招标人直接或间接向投标人泄露标底、评标委员会成员等信息；</w:t>
      </w:r>
      <w:r>
        <w:rPr>
          <w:rFonts w:ascii="Calibri" w:hAnsi="Calibri" w:eastAsia="Calibri" w:cs="Calibri"/>
          <w:spacing w:val="-1"/>
          <w:sz w:val="21"/>
          <w:szCs w:val="21"/>
        </w:rPr>
        <w:t>c.</w:t>
      </w:r>
      <w:r>
        <w:rPr>
          <w:rFonts w:ascii="宋体" w:hAnsi="宋体" w:eastAsia="宋体" w:cs="宋体"/>
          <w:spacing w:val="-1"/>
          <w:sz w:val="21"/>
          <w:szCs w:val="21"/>
        </w:rPr>
        <w:t>招标人明示或暗示投标人压低或抬高投标报价；</w:t>
      </w:r>
    </w:p>
    <w:p w14:paraId="70036728">
      <w:pPr>
        <w:spacing w:before="42" w:line="241" w:lineRule="auto"/>
        <w:ind w:left="441"/>
        <w:rPr>
          <w:rFonts w:ascii="宋体" w:hAnsi="宋体" w:eastAsia="宋体" w:cs="宋体"/>
          <w:sz w:val="21"/>
          <w:szCs w:val="21"/>
        </w:rPr>
      </w:pPr>
      <w:r>
        <w:rPr>
          <w:rFonts w:ascii="Calibri" w:hAnsi="Calibri" w:eastAsia="Calibri" w:cs="Calibri"/>
          <w:spacing w:val="-1"/>
          <w:sz w:val="21"/>
          <w:szCs w:val="21"/>
        </w:rPr>
        <w:t>d.</w:t>
      </w:r>
      <w:r>
        <w:rPr>
          <w:rFonts w:ascii="宋体" w:hAnsi="宋体" w:eastAsia="宋体" w:cs="宋体"/>
          <w:spacing w:val="-1"/>
          <w:sz w:val="21"/>
          <w:szCs w:val="21"/>
        </w:rPr>
        <w:t>招标人授意投标人撤换、修改投标文件；</w:t>
      </w:r>
    </w:p>
    <w:p w14:paraId="6EB6816A">
      <w:pPr>
        <w:spacing w:before="134"/>
        <w:ind w:left="440"/>
        <w:rPr>
          <w:rFonts w:ascii="宋体" w:hAnsi="宋体" w:eastAsia="宋体" w:cs="宋体"/>
          <w:sz w:val="21"/>
          <w:szCs w:val="21"/>
        </w:rPr>
      </w:pPr>
      <w:r>
        <w:rPr>
          <w:rFonts w:ascii="Calibri" w:hAnsi="Calibri" w:eastAsia="Calibri" w:cs="Calibri"/>
          <w:spacing w:val="-2"/>
          <w:sz w:val="21"/>
          <w:szCs w:val="21"/>
        </w:rPr>
        <w:t>e.</w:t>
      </w:r>
      <w:r>
        <w:rPr>
          <w:rFonts w:ascii="宋体" w:hAnsi="宋体" w:eastAsia="宋体" w:cs="宋体"/>
          <w:spacing w:val="-2"/>
          <w:sz w:val="21"/>
          <w:szCs w:val="21"/>
        </w:rPr>
        <w:t>招标人明示或暗示投标人为特定投标人中标提供方便；</w:t>
      </w:r>
    </w:p>
    <w:p w14:paraId="6637D283">
      <w:pPr>
        <w:spacing w:before="134" w:line="329" w:lineRule="auto"/>
        <w:ind w:left="445" w:right="1948" w:hanging="10"/>
        <w:rPr>
          <w:rFonts w:ascii="宋体" w:hAnsi="宋体" w:eastAsia="宋体" w:cs="宋体"/>
          <w:sz w:val="21"/>
          <w:szCs w:val="21"/>
        </w:rPr>
      </w:pPr>
      <w:r>
        <w:rPr>
          <w:rFonts w:ascii="Calibri" w:hAnsi="Calibri" w:eastAsia="Calibri" w:cs="Calibri"/>
          <w:spacing w:val="-2"/>
          <w:sz w:val="21"/>
          <w:szCs w:val="21"/>
        </w:rPr>
        <w:t>f.</w:t>
      </w:r>
      <w:r>
        <w:rPr>
          <w:rFonts w:ascii="宋体" w:hAnsi="宋体" w:eastAsia="宋体" w:cs="宋体"/>
          <w:spacing w:val="-2"/>
          <w:sz w:val="21"/>
          <w:szCs w:val="21"/>
        </w:rPr>
        <w:t>招标人与投标人为谋求特定投标人中标而采取的其他串通行为。（</w:t>
      </w:r>
      <w:r>
        <w:rPr>
          <w:rFonts w:ascii="Calibri" w:hAnsi="Calibri" w:eastAsia="Calibri" w:cs="Calibri"/>
          <w:spacing w:val="-2"/>
          <w:sz w:val="21"/>
          <w:szCs w:val="21"/>
        </w:rPr>
        <w:t>4</w:t>
      </w:r>
      <w:r>
        <w:rPr>
          <w:rFonts w:ascii="宋体" w:hAnsi="宋体" w:eastAsia="宋体" w:cs="宋体"/>
          <w:spacing w:val="-2"/>
          <w:sz w:val="21"/>
          <w:szCs w:val="21"/>
        </w:rPr>
        <w:t>）投标人有下列情形之一的，属于弄虚作假的行为：</w:t>
      </w:r>
    </w:p>
    <w:p w14:paraId="214A4BF4">
      <w:pPr>
        <w:spacing w:before="68"/>
        <w:ind w:left="440"/>
        <w:rPr>
          <w:rFonts w:ascii="宋体" w:hAnsi="宋体" w:eastAsia="宋体" w:cs="宋体"/>
          <w:sz w:val="21"/>
          <w:szCs w:val="21"/>
        </w:rPr>
      </w:pPr>
      <w:r>
        <w:rPr>
          <w:rFonts w:ascii="Calibri" w:hAnsi="Calibri" w:eastAsia="Calibri" w:cs="Calibri"/>
          <w:sz w:val="21"/>
          <w:szCs w:val="21"/>
        </w:rPr>
        <w:t>a.</w:t>
      </w:r>
      <w:r>
        <w:rPr>
          <w:rFonts w:ascii="宋体" w:hAnsi="宋体" w:eastAsia="宋体" w:cs="宋体"/>
          <w:sz w:val="21"/>
          <w:szCs w:val="21"/>
        </w:rPr>
        <w:t>使用通过受让或租借等方式获取的资格、资质</w:t>
      </w:r>
      <w:r>
        <w:rPr>
          <w:rFonts w:ascii="宋体" w:hAnsi="宋体" w:eastAsia="宋体" w:cs="宋体"/>
          <w:spacing w:val="-1"/>
          <w:sz w:val="21"/>
          <w:szCs w:val="21"/>
        </w:rPr>
        <w:t>证书投标；</w:t>
      </w:r>
    </w:p>
    <w:p w14:paraId="555D8C11">
      <w:pPr>
        <w:spacing w:before="137" w:line="241" w:lineRule="auto"/>
        <w:ind w:left="447"/>
        <w:rPr>
          <w:rFonts w:ascii="宋体" w:hAnsi="宋体" w:eastAsia="宋体" w:cs="宋体"/>
          <w:sz w:val="21"/>
          <w:szCs w:val="21"/>
        </w:rPr>
      </w:pPr>
      <w:r>
        <w:rPr>
          <w:rFonts w:ascii="Calibri" w:hAnsi="Calibri" w:eastAsia="Calibri" w:cs="Calibri"/>
          <w:spacing w:val="-4"/>
          <w:sz w:val="21"/>
          <w:szCs w:val="21"/>
        </w:rPr>
        <w:t>b.</w:t>
      </w:r>
      <w:r>
        <w:rPr>
          <w:rFonts w:ascii="宋体" w:hAnsi="宋体" w:eastAsia="宋体" w:cs="宋体"/>
          <w:spacing w:val="-4"/>
          <w:sz w:val="21"/>
          <w:szCs w:val="21"/>
        </w:rPr>
        <w:t>使用伪造、变造的许可证件；</w:t>
      </w:r>
    </w:p>
    <w:p w14:paraId="24659E87">
      <w:pPr>
        <w:spacing w:before="135"/>
        <w:ind w:left="440"/>
        <w:rPr>
          <w:rFonts w:ascii="宋体" w:hAnsi="宋体" w:eastAsia="宋体" w:cs="宋体"/>
          <w:sz w:val="21"/>
          <w:szCs w:val="21"/>
        </w:rPr>
      </w:pPr>
      <w:r>
        <w:rPr>
          <w:rFonts w:ascii="Calibri" w:hAnsi="Calibri" w:eastAsia="Calibri" w:cs="Calibri"/>
          <w:spacing w:val="-3"/>
          <w:sz w:val="21"/>
          <w:szCs w:val="21"/>
        </w:rPr>
        <w:t>c.</w:t>
      </w:r>
      <w:r>
        <w:rPr>
          <w:rFonts w:ascii="宋体" w:hAnsi="宋体" w:eastAsia="宋体" w:cs="宋体"/>
          <w:spacing w:val="-3"/>
          <w:sz w:val="21"/>
          <w:szCs w:val="21"/>
        </w:rPr>
        <w:t>提供虚假的财务状况或业绩；</w:t>
      </w:r>
    </w:p>
    <w:p w14:paraId="579EE48E">
      <w:pPr>
        <w:spacing w:before="136" w:line="341" w:lineRule="auto"/>
        <w:ind w:left="440" w:right="2118"/>
        <w:rPr>
          <w:rFonts w:ascii="宋体" w:hAnsi="宋体" w:eastAsia="宋体" w:cs="宋体"/>
          <w:sz w:val="21"/>
          <w:szCs w:val="21"/>
        </w:rPr>
      </w:pPr>
      <w:r>
        <w:rPr>
          <w:rFonts w:ascii="Calibri" w:hAnsi="Calibri" w:eastAsia="Calibri" w:cs="Calibri"/>
          <w:spacing w:val="-2"/>
          <w:sz w:val="21"/>
          <w:szCs w:val="21"/>
        </w:rPr>
        <w:t>d.</w:t>
      </w:r>
      <w:r>
        <w:rPr>
          <w:rFonts w:ascii="宋体" w:hAnsi="宋体" w:eastAsia="宋体" w:cs="宋体"/>
          <w:spacing w:val="-2"/>
          <w:sz w:val="21"/>
          <w:szCs w:val="21"/>
        </w:rPr>
        <w:t>提供虚假的项目负责人或主要技术人员简历、劳动关系证明；</w:t>
      </w:r>
      <w:r>
        <w:rPr>
          <w:rFonts w:ascii="Calibri" w:hAnsi="Calibri" w:eastAsia="Calibri" w:cs="Calibri"/>
          <w:spacing w:val="-3"/>
          <w:sz w:val="21"/>
          <w:szCs w:val="21"/>
        </w:rPr>
        <w:t>e.</w:t>
      </w:r>
      <w:r>
        <w:rPr>
          <w:rFonts w:ascii="宋体" w:hAnsi="宋体" w:eastAsia="宋体" w:cs="宋体"/>
          <w:spacing w:val="-3"/>
          <w:sz w:val="21"/>
          <w:szCs w:val="21"/>
        </w:rPr>
        <w:t>提供虚假的信用状况；</w:t>
      </w:r>
    </w:p>
    <w:p w14:paraId="6D60C389">
      <w:pPr>
        <w:spacing w:before="39"/>
        <w:ind w:left="435"/>
        <w:rPr>
          <w:rFonts w:ascii="宋体" w:hAnsi="宋体" w:eastAsia="宋体" w:cs="宋体"/>
          <w:sz w:val="21"/>
          <w:szCs w:val="21"/>
        </w:rPr>
      </w:pPr>
      <w:r>
        <w:rPr>
          <w:rFonts w:ascii="Calibri" w:hAnsi="Calibri" w:eastAsia="Calibri" w:cs="Calibri"/>
          <w:spacing w:val="-2"/>
          <w:sz w:val="21"/>
          <w:szCs w:val="21"/>
        </w:rPr>
        <w:t>f.</w:t>
      </w:r>
      <w:r>
        <w:rPr>
          <w:rFonts w:ascii="宋体" w:hAnsi="宋体" w:eastAsia="宋体" w:cs="宋体"/>
          <w:spacing w:val="-2"/>
          <w:sz w:val="21"/>
          <w:szCs w:val="21"/>
        </w:rPr>
        <w:t>其他弄虚作假的行为。</w:t>
      </w:r>
    </w:p>
    <w:p w14:paraId="60064F03">
      <w:pPr>
        <w:spacing w:before="166" w:line="218" w:lineRule="auto"/>
        <w:ind w:left="21"/>
        <w:outlineLvl w:val="3"/>
        <w:rPr>
          <w:rFonts w:ascii="黑体" w:hAnsi="黑体" w:eastAsia="黑体" w:cs="黑体"/>
          <w:sz w:val="24"/>
          <w:szCs w:val="24"/>
        </w:rPr>
      </w:pPr>
      <w:r>
        <w:rPr>
          <w:rFonts w:ascii="Times New Roman" w:hAnsi="Times New Roman" w:eastAsia="Times New Roman" w:cs="Times New Roman"/>
          <w:spacing w:val="-1"/>
          <w:sz w:val="24"/>
          <w:szCs w:val="24"/>
        </w:rPr>
        <w:t>3.7</w:t>
      </w:r>
      <w:r>
        <w:rPr>
          <w:rFonts w:ascii="黑体" w:hAnsi="黑体" w:eastAsia="黑体" w:cs="黑体"/>
          <w:spacing w:val="-1"/>
          <w:sz w:val="24"/>
          <w:szCs w:val="24"/>
        </w:rPr>
        <w:t>投标文件的澄清和说明</w:t>
      </w:r>
    </w:p>
    <w:p w14:paraId="17741333">
      <w:pPr>
        <w:spacing w:before="175" w:line="345" w:lineRule="auto"/>
        <w:ind w:left="45" w:right="5" w:firstLine="396"/>
        <w:rPr>
          <w:rFonts w:ascii="宋体" w:hAnsi="宋体" w:eastAsia="宋体" w:cs="宋体"/>
          <w:sz w:val="21"/>
          <w:szCs w:val="21"/>
        </w:rPr>
      </w:pPr>
      <w:r>
        <w:rPr>
          <w:rFonts w:ascii="Calibri" w:hAnsi="Calibri" w:eastAsia="Calibri" w:cs="Calibri"/>
          <w:sz w:val="21"/>
          <w:szCs w:val="21"/>
        </w:rPr>
        <w:t>3.7.1</w:t>
      </w:r>
      <w:r>
        <w:rPr>
          <w:rFonts w:ascii="宋体" w:hAnsi="宋体" w:eastAsia="宋体" w:cs="宋体"/>
          <w:sz w:val="21"/>
          <w:szCs w:val="21"/>
        </w:rPr>
        <w:t>在评标过程中，评标委员会可以书面形式要求投标人对投标文件</w:t>
      </w:r>
      <w:r>
        <w:rPr>
          <w:rFonts w:ascii="宋体" w:hAnsi="宋体" w:eastAsia="宋体" w:cs="宋体"/>
          <w:spacing w:val="-1"/>
          <w:sz w:val="21"/>
          <w:szCs w:val="21"/>
        </w:rPr>
        <w:t>中含义不明确的</w:t>
      </w:r>
      <w:r>
        <w:rPr>
          <w:rFonts w:ascii="宋体" w:hAnsi="宋体" w:eastAsia="宋体" w:cs="宋体"/>
          <w:spacing w:val="2"/>
          <w:sz w:val="21"/>
          <w:szCs w:val="21"/>
        </w:rPr>
        <w:t>内容、明显文字或计算错误进行书面澄清或说明。评标委员会不接受投标人主动提出的澄</w:t>
      </w:r>
    </w:p>
    <w:p w14:paraId="49766DE3">
      <w:pPr>
        <w:spacing w:line="345" w:lineRule="auto"/>
        <w:rPr>
          <w:rFonts w:ascii="宋体" w:hAnsi="宋体" w:eastAsia="宋体" w:cs="宋体"/>
          <w:sz w:val="21"/>
          <w:szCs w:val="21"/>
        </w:rPr>
        <w:sectPr>
          <w:footerReference r:id="rId18" w:type="default"/>
          <w:pgSz w:w="11912" w:h="16851"/>
          <w:pgMar w:top="400" w:right="1786" w:bottom="1025" w:left="1786" w:header="0" w:footer="861" w:gutter="0"/>
          <w:cols w:space="720" w:num="1"/>
        </w:sectPr>
      </w:pPr>
    </w:p>
    <w:p w14:paraId="553F3255">
      <w:pPr>
        <w:pStyle w:val="2"/>
        <w:spacing w:line="248" w:lineRule="auto"/>
      </w:pPr>
    </w:p>
    <w:p w14:paraId="7A6636E0">
      <w:pPr>
        <w:pStyle w:val="2"/>
        <w:spacing w:line="249" w:lineRule="auto"/>
      </w:pPr>
    </w:p>
    <w:p w14:paraId="36448697">
      <w:pPr>
        <w:pStyle w:val="2"/>
        <w:spacing w:line="249" w:lineRule="auto"/>
      </w:pPr>
    </w:p>
    <w:p w14:paraId="5B0282C7">
      <w:pPr>
        <w:pStyle w:val="2"/>
        <w:spacing w:line="249" w:lineRule="auto"/>
      </w:pPr>
    </w:p>
    <w:p w14:paraId="7BB40AF6">
      <w:pPr>
        <w:spacing w:before="68" w:line="220" w:lineRule="auto"/>
        <w:ind w:left="19"/>
        <w:rPr>
          <w:rFonts w:ascii="宋体" w:hAnsi="宋体" w:eastAsia="宋体" w:cs="宋体"/>
          <w:sz w:val="21"/>
          <w:szCs w:val="21"/>
        </w:rPr>
      </w:pPr>
      <w:r>
        <w:rPr>
          <w:rFonts w:ascii="宋体" w:hAnsi="宋体" w:eastAsia="宋体" w:cs="宋体"/>
          <w:spacing w:val="-1"/>
          <w:sz w:val="21"/>
          <w:szCs w:val="21"/>
        </w:rPr>
        <w:t>清、说明。投标人不按评标委员会要求澄清或说明的，评标委员会应否决其投标。</w:t>
      </w:r>
    </w:p>
    <w:p w14:paraId="4B6E2FA4">
      <w:pPr>
        <w:spacing w:before="157" w:line="345" w:lineRule="auto"/>
        <w:ind w:left="36" w:right="7" w:firstLine="404"/>
        <w:rPr>
          <w:rFonts w:ascii="宋体" w:hAnsi="宋体" w:eastAsia="宋体" w:cs="宋体"/>
          <w:sz w:val="21"/>
          <w:szCs w:val="21"/>
        </w:rPr>
      </w:pPr>
      <w:r>
        <w:rPr>
          <w:rFonts w:ascii="Calibri" w:hAnsi="Calibri" w:eastAsia="Calibri" w:cs="Calibri"/>
          <w:sz w:val="21"/>
          <w:szCs w:val="21"/>
        </w:rPr>
        <w:t>3.7.2</w:t>
      </w:r>
      <w:r>
        <w:rPr>
          <w:rFonts w:ascii="宋体" w:hAnsi="宋体" w:eastAsia="宋体" w:cs="宋体"/>
          <w:sz w:val="21"/>
          <w:szCs w:val="21"/>
        </w:rPr>
        <w:t>澄清和说明不得超出投标文件的范围或改变投标文件的实质性</w:t>
      </w:r>
      <w:r>
        <w:rPr>
          <w:rFonts w:ascii="宋体" w:hAnsi="宋体" w:eastAsia="宋体" w:cs="宋体"/>
          <w:spacing w:val="-1"/>
          <w:sz w:val="21"/>
          <w:szCs w:val="21"/>
        </w:rPr>
        <w:t>内容（算术性错误</w:t>
      </w:r>
      <w:r>
        <w:rPr>
          <w:rFonts w:ascii="宋体" w:hAnsi="宋体" w:eastAsia="宋体" w:cs="宋体"/>
          <w:spacing w:val="-5"/>
          <w:sz w:val="21"/>
          <w:szCs w:val="21"/>
        </w:rPr>
        <w:t>的修正除外）。投标人的书面澄清、说明属于投标文件的组成部分。</w:t>
      </w:r>
    </w:p>
    <w:p w14:paraId="6BE8F58D">
      <w:pPr>
        <w:spacing w:before="33" w:line="345" w:lineRule="auto"/>
        <w:ind w:left="20" w:right="7" w:firstLine="421"/>
        <w:rPr>
          <w:rFonts w:ascii="宋体" w:hAnsi="宋体" w:eastAsia="宋体" w:cs="宋体"/>
          <w:sz w:val="21"/>
          <w:szCs w:val="21"/>
        </w:rPr>
      </w:pPr>
      <w:r>
        <w:rPr>
          <w:rFonts w:ascii="Calibri" w:hAnsi="Calibri" w:eastAsia="Calibri" w:cs="Calibri"/>
          <w:sz w:val="21"/>
          <w:szCs w:val="21"/>
        </w:rPr>
        <w:t>3.7.3</w:t>
      </w:r>
      <w:r>
        <w:rPr>
          <w:rFonts w:ascii="宋体" w:hAnsi="宋体" w:eastAsia="宋体" w:cs="宋体"/>
          <w:sz w:val="21"/>
          <w:szCs w:val="21"/>
        </w:rPr>
        <w:t>评标委员会不得暗示或诱导投标人作出澄清、说明，对投标人提</w:t>
      </w:r>
      <w:r>
        <w:rPr>
          <w:rFonts w:ascii="宋体" w:hAnsi="宋体" w:eastAsia="宋体" w:cs="宋体"/>
          <w:spacing w:val="-1"/>
          <w:sz w:val="21"/>
          <w:szCs w:val="21"/>
        </w:rPr>
        <w:t>交的澄清、说明</w:t>
      </w:r>
      <w:r>
        <w:rPr>
          <w:rFonts w:ascii="宋体" w:hAnsi="宋体" w:eastAsia="宋体" w:cs="宋体"/>
          <w:sz w:val="21"/>
          <w:szCs w:val="21"/>
        </w:rPr>
        <w:t>有疑问的，可以要求投标人进一步澄清或说明，直至满足评标委员会</w:t>
      </w:r>
      <w:r>
        <w:rPr>
          <w:rFonts w:ascii="宋体" w:hAnsi="宋体" w:eastAsia="宋体" w:cs="宋体"/>
          <w:spacing w:val="-1"/>
          <w:sz w:val="21"/>
          <w:szCs w:val="21"/>
        </w:rPr>
        <w:t>的要求。</w:t>
      </w:r>
    </w:p>
    <w:p w14:paraId="18EB88EF">
      <w:pPr>
        <w:spacing w:before="31" w:line="345" w:lineRule="auto"/>
        <w:ind w:left="18" w:right="7" w:firstLine="423"/>
        <w:rPr>
          <w:rFonts w:ascii="宋体" w:hAnsi="宋体" w:eastAsia="宋体" w:cs="宋体"/>
          <w:sz w:val="21"/>
          <w:szCs w:val="21"/>
        </w:rPr>
      </w:pPr>
      <w:r>
        <w:rPr>
          <w:rFonts w:ascii="Calibri" w:hAnsi="Calibri" w:eastAsia="Calibri" w:cs="Calibri"/>
          <w:sz w:val="21"/>
          <w:szCs w:val="21"/>
        </w:rPr>
        <w:t>3.7.4</w:t>
      </w:r>
      <w:r>
        <w:rPr>
          <w:rFonts w:ascii="宋体" w:hAnsi="宋体" w:eastAsia="宋体" w:cs="宋体"/>
          <w:sz w:val="21"/>
          <w:szCs w:val="21"/>
        </w:rPr>
        <w:t>凡超出招标文件规定的或给发包人带来未曾要求的利</w:t>
      </w:r>
      <w:r>
        <w:rPr>
          <w:rFonts w:ascii="宋体" w:hAnsi="宋体" w:eastAsia="宋体" w:cs="宋体"/>
          <w:spacing w:val="-1"/>
          <w:sz w:val="21"/>
          <w:szCs w:val="21"/>
        </w:rPr>
        <w:t>益的变化、偏差或其他因素</w:t>
      </w:r>
      <w:r>
        <w:rPr>
          <w:rFonts w:ascii="宋体" w:hAnsi="宋体" w:eastAsia="宋体" w:cs="宋体"/>
          <w:spacing w:val="-3"/>
          <w:sz w:val="21"/>
          <w:szCs w:val="21"/>
        </w:rPr>
        <w:t>在评标时不予考虑。</w:t>
      </w:r>
    </w:p>
    <w:p w14:paraId="28648DB3">
      <w:pPr>
        <w:spacing w:before="61" w:line="220" w:lineRule="auto"/>
        <w:ind w:left="21"/>
        <w:outlineLvl w:val="3"/>
        <w:rPr>
          <w:rFonts w:ascii="黑体" w:hAnsi="黑体" w:eastAsia="黑体" w:cs="黑体"/>
          <w:sz w:val="24"/>
          <w:szCs w:val="24"/>
        </w:rPr>
      </w:pPr>
      <w:r>
        <w:rPr>
          <w:rFonts w:ascii="Times New Roman" w:hAnsi="Times New Roman" w:eastAsia="Times New Roman" w:cs="Times New Roman"/>
          <w:spacing w:val="-2"/>
          <w:sz w:val="24"/>
          <w:szCs w:val="24"/>
        </w:rPr>
        <w:t>3.8</w:t>
      </w:r>
      <w:r>
        <w:rPr>
          <w:rFonts w:ascii="黑体" w:hAnsi="黑体" w:eastAsia="黑体" w:cs="黑体"/>
          <w:spacing w:val="-2"/>
          <w:sz w:val="24"/>
          <w:szCs w:val="24"/>
        </w:rPr>
        <w:t>不得否决投标的情形</w:t>
      </w:r>
    </w:p>
    <w:p w14:paraId="38824F94">
      <w:pPr>
        <w:spacing w:before="173" w:line="345" w:lineRule="auto"/>
        <w:ind w:left="27" w:right="4" w:firstLine="414"/>
        <w:rPr>
          <w:rFonts w:ascii="宋体" w:hAnsi="宋体" w:eastAsia="宋体" w:cs="宋体"/>
          <w:sz w:val="21"/>
          <w:szCs w:val="21"/>
        </w:rPr>
      </w:pPr>
      <w:r>
        <w:rPr>
          <w:rFonts w:ascii="宋体" w:hAnsi="宋体" w:eastAsia="宋体" w:cs="宋体"/>
          <w:sz w:val="21"/>
          <w:szCs w:val="21"/>
        </w:rPr>
        <w:t>投标文件存在第二章</w:t>
      </w:r>
      <w:r>
        <w:rPr>
          <w:rFonts w:ascii="Calibri" w:hAnsi="Calibri" w:eastAsia="Calibri" w:cs="Calibri"/>
          <w:sz w:val="21"/>
          <w:szCs w:val="21"/>
        </w:rPr>
        <w:t>“</w:t>
      </w:r>
      <w:r>
        <w:rPr>
          <w:rFonts w:ascii="宋体" w:hAnsi="宋体" w:eastAsia="宋体" w:cs="宋体"/>
          <w:sz w:val="21"/>
          <w:szCs w:val="21"/>
        </w:rPr>
        <w:t>投标人须知</w:t>
      </w:r>
      <w:r>
        <w:rPr>
          <w:rFonts w:ascii="Calibri" w:hAnsi="Calibri" w:eastAsia="Calibri" w:cs="Calibri"/>
          <w:sz w:val="21"/>
          <w:szCs w:val="21"/>
        </w:rPr>
        <w:t>”</w:t>
      </w:r>
      <w:r>
        <w:rPr>
          <w:rFonts w:ascii="宋体" w:hAnsi="宋体" w:eastAsia="宋体" w:cs="宋体"/>
          <w:sz w:val="21"/>
          <w:szCs w:val="21"/>
        </w:rPr>
        <w:t>第</w:t>
      </w:r>
      <w:r>
        <w:rPr>
          <w:rFonts w:ascii="Calibri" w:hAnsi="Calibri" w:eastAsia="Calibri" w:cs="Calibri"/>
          <w:sz w:val="21"/>
          <w:szCs w:val="21"/>
        </w:rPr>
        <w:t>1.12.3</w:t>
      </w:r>
      <w:r>
        <w:rPr>
          <w:rFonts w:ascii="宋体" w:hAnsi="宋体" w:eastAsia="宋体" w:cs="宋体"/>
          <w:sz w:val="21"/>
          <w:szCs w:val="21"/>
        </w:rPr>
        <w:t>项所列情形的，均视为细微偏差，评标委</w:t>
      </w:r>
      <w:r>
        <w:rPr>
          <w:rFonts w:ascii="宋体" w:hAnsi="宋体" w:eastAsia="宋体" w:cs="宋体"/>
          <w:spacing w:val="-1"/>
          <w:sz w:val="21"/>
          <w:szCs w:val="21"/>
        </w:rPr>
        <w:t>员会不得否决投标人的投标，应按照第二章</w:t>
      </w:r>
      <w:r>
        <w:rPr>
          <w:rFonts w:ascii="Calibri" w:hAnsi="Calibri" w:eastAsia="Calibri" w:cs="Calibri"/>
          <w:spacing w:val="-1"/>
          <w:sz w:val="21"/>
          <w:szCs w:val="21"/>
        </w:rPr>
        <w:t>“</w:t>
      </w:r>
      <w:r>
        <w:rPr>
          <w:rFonts w:ascii="宋体" w:hAnsi="宋体" w:eastAsia="宋体" w:cs="宋体"/>
          <w:spacing w:val="-1"/>
          <w:sz w:val="21"/>
          <w:szCs w:val="21"/>
        </w:rPr>
        <w:t>投标人须知</w:t>
      </w:r>
      <w:r>
        <w:rPr>
          <w:rFonts w:ascii="Calibri" w:hAnsi="Calibri" w:eastAsia="Calibri" w:cs="Calibri"/>
          <w:spacing w:val="-1"/>
          <w:sz w:val="21"/>
          <w:szCs w:val="21"/>
        </w:rPr>
        <w:t>”</w:t>
      </w:r>
      <w:r>
        <w:rPr>
          <w:rFonts w:ascii="宋体" w:hAnsi="宋体" w:eastAsia="宋体" w:cs="宋体"/>
          <w:spacing w:val="-1"/>
          <w:sz w:val="21"/>
          <w:szCs w:val="21"/>
        </w:rPr>
        <w:t>第</w:t>
      </w:r>
      <w:r>
        <w:rPr>
          <w:rFonts w:ascii="Calibri" w:hAnsi="Calibri" w:eastAsia="Calibri" w:cs="Calibri"/>
          <w:spacing w:val="-1"/>
          <w:sz w:val="21"/>
          <w:szCs w:val="21"/>
        </w:rPr>
        <w:t>1.12.4</w:t>
      </w:r>
      <w:r>
        <w:rPr>
          <w:rFonts w:ascii="宋体" w:hAnsi="宋体" w:eastAsia="宋体" w:cs="宋体"/>
          <w:spacing w:val="-1"/>
          <w:sz w:val="21"/>
          <w:szCs w:val="21"/>
        </w:rPr>
        <w:t>项规定的原则处理。</w:t>
      </w:r>
    </w:p>
    <w:p w14:paraId="7E8D1D3E">
      <w:pPr>
        <w:spacing w:before="60" w:line="219" w:lineRule="auto"/>
        <w:ind w:left="21"/>
        <w:outlineLvl w:val="3"/>
        <w:rPr>
          <w:rFonts w:ascii="黑体" w:hAnsi="黑体" w:eastAsia="黑体" w:cs="黑体"/>
          <w:sz w:val="24"/>
          <w:szCs w:val="24"/>
        </w:rPr>
      </w:pPr>
      <w:r>
        <w:rPr>
          <w:rFonts w:ascii="Times New Roman" w:hAnsi="Times New Roman" w:eastAsia="Times New Roman" w:cs="Times New Roman"/>
          <w:spacing w:val="-1"/>
          <w:sz w:val="24"/>
          <w:szCs w:val="24"/>
        </w:rPr>
        <w:t>3.9</w:t>
      </w:r>
      <w:r>
        <w:rPr>
          <w:rFonts w:ascii="黑体" w:hAnsi="黑体" w:eastAsia="黑体" w:cs="黑体"/>
          <w:spacing w:val="-1"/>
          <w:sz w:val="24"/>
          <w:szCs w:val="24"/>
        </w:rPr>
        <w:t>评标结果</w:t>
      </w:r>
    </w:p>
    <w:p w14:paraId="0CA36886">
      <w:pPr>
        <w:spacing w:before="175" w:line="347" w:lineRule="auto"/>
        <w:ind w:left="18" w:right="5" w:firstLine="423"/>
        <w:rPr>
          <w:rFonts w:ascii="宋体" w:hAnsi="宋体" w:eastAsia="宋体" w:cs="宋体"/>
          <w:sz w:val="21"/>
          <w:szCs w:val="21"/>
        </w:rPr>
      </w:pPr>
      <w:r>
        <w:rPr>
          <w:rFonts w:ascii="Calibri" w:hAnsi="Calibri" w:eastAsia="Calibri" w:cs="Calibri"/>
          <w:sz w:val="21"/>
          <w:szCs w:val="21"/>
        </w:rPr>
        <w:t>3.9.1</w:t>
      </w:r>
      <w:r>
        <w:rPr>
          <w:rFonts w:ascii="宋体" w:hAnsi="宋体" w:eastAsia="宋体" w:cs="宋体"/>
          <w:sz w:val="21"/>
          <w:szCs w:val="21"/>
        </w:rPr>
        <w:t>除第二章</w:t>
      </w:r>
      <w:r>
        <w:rPr>
          <w:rFonts w:ascii="Calibri" w:hAnsi="Calibri" w:eastAsia="Calibri" w:cs="Calibri"/>
          <w:sz w:val="21"/>
          <w:szCs w:val="21"/>
        </w:rPr>
        <w:t>“</w:t>
      </w:r>
      <w:r>
        <w:rPr>
          <w:rFonts w:ascii="宋体" w:hAnsi="宋体" w:eastAsia="宋体" w:cs="宋体"/>
          <w:sz w:val="21"/>
          <w:szCs w:val="21"/>
        </w:rPr>
        <w:t>投标人须知</w:t>
      </w:r>
      <w:r>
        <w:rPr>
          <w:rFonts w:ascii="Calibri" w:hAnsi="Calibri" w:eastAsia="Calibri" w:cs="Calibri"/>
          <w:sz w:val="21"/>
          <w:szCs w:val="21"/>
        </w:rPr>
        <w:t>”</w:t>
      </w:r>
      <w:r>
        <w:rPr>
          <w:rFonts w:ascii="宋体" w:hAnsi="宋体" w:eastAsia="宋体" w:cs="宋体"/>
          <w:sz w:val="21"/>
          <w:szCs w:val="21"/>
        </w:rPr>
        <w:t>前附表授权直接确定中标人外，评标委员会按照评标价由</w:t>
      </w:r>
      <w:r>
        <w:rPr>
          <w:rFonts w:ascii="宋体" w:hAnsi="宋体" w:eastAsia="宋体" w:cs="宋体"/>
          <w:spacing w:val="-1"/>
          <w:sz w:val="21"/>
          <w:szCs w:val="21"/>
        </w:rPr>
        <w:t>低到高的顺序推荐中标候选人，并标明排序。</w:t>
      </w:r>
    </w:p>
    <w:p w14:paraId="5CE555A1">
      <w:pPr>
        <w:spacing w:before="29" w:line="219" w:lineRule="auto"/>
        <w:ind w:left="441"/>
      </w:pPr>
      <w:r>
        <w:rPr>
          <w:rFonts w:ascii="Calibri" w:hAnsi="Calibri" w:eastAsia="Calibri" w:cs="Calibri"/>
          <w:spacing w:val="-1"/>
          <w:sz w:val="21"/>
          <w:szCs w:val="21"/>
        </w:rPr>
        <w:t>3.9.2</w:t>
      </w:r>
      <w:r>
        <w:rPr>
          <w:rFonts w:ascii="宋体" w:hAnsi="宋体" w:eastAsia="宋体" w:cs="宋体"/>
          <w:spacing w:val="-1"/>
          <w:sz w:val="21"/>
          <w:szCs w:val="21"/>
        </w:rPr>
        <w:t>评标委员会完成评标后，应向招标人提交书面评标报告。</w:t>
      </w:r>
    </w:p>
    <w:sectPr>
      <w:footerReference r:id="rId1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C620">
    <w:pPr>
      <w:spacing w:line="167" w:lineRule="auto"/>
      <w:ind w:left="8257"/>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571A">
    <w:pPr>
      <w:spacing w:line="167" w:lineRule="auto"/>
      <w:ind w:left="8256"/>
      <w:rPr>
        <w:rFonts w:ascii="Calibri" w:hAnsi="Calibri" w:eastAsia="Calibri" w:cs="Calibri"/>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426C">
    <w:pPr>
      <w:spacing w:line="167" w:lineRule="auto"/>
      <w:ind w:left="8256"/>
      <w:rPr>
        <w:rFonts w:ascii="Calibri" w:hAnsi="Calibri" w:eastAsia="Calibri" w:cs="Calibri"/>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4B77">
    <w:pPr>
      <w:spacing w:line="167" w:lineRule="auto"/>
      <w:ind w:right="5"/>
      <w:jc w:val="right"/>
      <w:rPr>
        <w:rFonts w:ascii="Calibri" w:hAnsi="Calibri" w:eastAsia="Calibri" w:cs="Calibri"/>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5FEB">
    <w:pPr>
      <w:spacing w:line="167" w:lineRule="auto"/>
      <w:ind w:right="5"/>
      <w:jc w:val="right"/>
      <w:rPr>
        <w:rFonts w:ascii="Calibri" w:hAnsi="Calibri" w:eastAsia="Calibri" w:cs="Calibri"/>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45AE8">
    <w:pPr>
      <w:spacing w:line="167" w:lineRule="auto"/>
      <w:ind w:right="5"/>
      <w:jc w:val="right"/>
      <w:rPr>
        <w:rFonts w:ascii="Calibri" w:hAnsi="Calibri" w:eastAsia="Calibri" w:cs="Calibri"/>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BAC9">
    <w:pPr>
      <w:spacing w:line="167" w:lineRule="auto"/>
      <w:ind w:right="5"/>
      <w:jc w:val="both"/>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A045">
    <w:pPr>
      <w:spacing w:line="167" w:lineRule="auto"/>
      <w:ind w:left="8254"/>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85BA">
    <w:pPr>
      <w:spacing w:line="166" w:lineRule="auto"/>
      <w:ind w:left="8254"/>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ADA2">
    <w:pPr>
      <w:spacing w:line="167" w:lineRule="auto"/>
      <w:ind w:left="8254"/>
      <w:rPr>
        <w:rFonts w:ascii="Calibri" w:hAnsi="Calibri" w:eastAsia="Calibri" w:cs="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790F">
    <w:pPr>
      <w:spacing w:line="167" w:lineRule="auto"/>
      <w:ind w:left="8256"/>
      <w:rPr>
        <w:rFonts w:ascii="Calibri" w:hAnsi="Calibri" w:eastAsia="Calibri" w:cs="Calibri"/>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1AE3">
    <w:pPr>
      <w:spacing w:line="166" w:lineRule="auto"/>
      <w:ind w:left="8254"/>
      <w:rPr>
        <w:rFonts w:ascii="Calibri" w:hAnsi="Calibri" w:eastAsia="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B765F">
    <w:pPr>
      <w:spacing w:line="165" w:lineRule="auto"/>
      <w:ind w:left="8254"/>
      <w:rPr>
        <w:rFonts w:ascii="Calibri" w:hAnsi="Calibri" w:eastAsia="Calibri" w:cs="Calibri"/>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D06CA">
    <w:pPr>
      <w:spacing w:line="167" w:lineRule="auto"/>
      <w:ind w:left="8254"/>
      <w:rPr>
        <w:rFonts w:ascii="Calibri" w:hAnsi="Calibri" w:eastAsia="Calibri" w:cs="Calibri"/>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47574">
    <w:pPr>
      <w:spacing w:line="165" w:lineRule="auto"/>
      <w:ind w:left="8254"/>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91633"/>
    <w:rsid w:val="17AC7EF2"/>
    <w:rsid w:val="3F33033C"/>
    <w:rsid w:val="6AB91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2024-11-20T08:17:00Z</dcterms:created>
  <dc:creator>lenovo</dc:creator>
  <cp:lastModifiedBy>lenovo</cp:lastModifiedBy>
  <dcterms:modified xsi:type="dcterms:W3CDTF">2024-11-20T08:33:58Z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048FF9E429FC46AD8F10B1ECDDAE38AE_11</vt:lpwstr>
  </property>
</Properties>
</file>