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57" w:line="276" w:lineRule="auto"/>
        <w:ind w:left="1483" w:right="2099" w:firstLine="583"/>
        <w:outlineLvl w:val="0"/>
        <w:rPr>
          <w:rFonts w:ascii="SimHei" w:hAnsi="SimHei" w:eastAsia="SimHei" w:cs="SimHei"/>
          <w:sz w:val="28"/>
          <w:szCs w:val="28"/>
        </w:rPr>
      </w:pPr>
      <w:r>
        <w:rPr>
          <w:rFonts w:ascii="SimHei" w:hAnsi="SimHei" w:eastAsia="SimHei" w:cs="SimHei"/>
          <w:spacing w:val="5"/>
          <w:sz w:val="41"/>
          <w:szCs w:val="41"/>
        </w:rPr>
        <w:t>评标办法（技术评分最低标价法）</w:t>
      </w:r>
      <w:r>
        <w:rPr>
          <w:rFonts w:ascii="SimHei" w:hAnsi="SimHei" w:eastAsia="SimHei" w:cs="SimHei"/>
          <w:spacing w:val="11"/>
          <w:sz w:val="41"/>
          <w:szCs w:val="41"/>
        </w:rPr>
        <w:t xml:space="preserve"> </w:t>
      </w:r>
      <w:r>
        <w:rPr>
          <w:rFonts w:ascii="SimHei" w:hAnsi="SimHei" w:eastAsia="SimHei" w:cs="SimHei"/>
          <w:spacing w:val="-2"/>
          <w:sz w:val="28"/>
          <w:szCs w:val="28"/>
        </w:rPr>
        <w:t>评标办法前附表</w:t>
      </w:r>
    </w:p>
    <w:p>
      <w:pPr>
        <w:spacing w:line="115" w:lineRule="exact"/>
      </w:pPr>
    </w:p>
    <w:tbl>
      <w:tblPr>
        <w:tblStyle w:val="5"/>
        <w:tblW w:w="103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30"/>
        <w:gridCol w:w="80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2330" w:type="dxa"/>
            <w:vAlign w:val="top"/>
          </w:tcPr>
          <w:p>
            <w:pPr>
              <w:pStyle w:val="6"/>
              <w:spacing w:before="296" w:line="186" w:lineRule="auto"/>
              <w:ind w:left="856"/>
            </w:pPr>
            <w:r>
              <w:rPr>
                <w:spacing w:val="6"/>
              </w:rPr>
              <w:t>条款号</w:t>
            </w:r>
          </w:p>
        </w:tc>
        <w:tc>
          <w:tcPr>
            <w:tcW w:w="8068" w:type="dxa"/>
            <w:vAlign w:val="top"/>
          </w:tcPr>
          <w:p>
            <w:pPr>
              <w:pStyle w:val="6"/>
              <w:spacing w:before="149" w:line="228" w:lineRule="auto"/>
              <w:ind w:left="3374"/>
            </w:pPr>
            <w:r>
              <w:rPr>
                <w:spacing w:val="8"/>
              </w:rPr>
              <w:t>评审因素与标准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7" w:hRule="atLeast"/>
        </w:trPr>
        <w:tc>
          <w:tcPr>
            <w:tcW w:w="2330"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6"/>
              <w:spacing w:before="65" w:line="228" w:lineRule="auto"/>
              <w:ind w:left="535"/>
            </w:pPr>
            <w:r>
              <w:rPr>
                <w:b/>
                <w:bCs/>
                <w:spacing w:val="6"/>
              </w:rPr>
              <w:t>废标条款</w:t>
            </w:r>
          </w:p>
        </w:tc>
        <w:tc>
          <w:tcPr>
            <w:tcW w:w="8068" w:type="dxa"/>
            <w:vAlign w:val="top"/>
          </w:tcPr>
          <w:p>
            <w:pPr>
              <w:pStyle w:val="6"/>
              <w:spacing w:before="131" w:line="228" w:lineRule="auto"/>
              <w:ind w:left="338"/>
            </w:pPr>
            <w:r>
              <w:rPr>
                <w:b/>
                <w:bCs/>
                <w:spacing w:val="-3"/>
              </w:rPr>
              <w:t>1.总</w:t>
            </w:r>
            <w:r>
              <w:rPr>
                <w:spacing w:val="12"/>
              </w:rPr>
              <w:t xml:space="preserve">  </w:t>
            </w:r>
            <w:r>
              <w:rPr>
                <w:b/>
                <w:bCs/>
                <w:spacing w:val="-3"/>
              </w:rPr>
              <w:t>则</w:t>
            </w:r>
          </w:p>
          <w:p>
            <w:pPr>
              <w:pStyle w:val="6"/>
              <w:spacing w:before="220" w:line="422" w:lineRule="auto"/>
              <w:ind w:left="114" w:right="106" w:firstLine="208"/>
              <w:jc w:val="both"/>
            </w:pPr>
            <w:r>
              <w:rPr>
                <w:spacing w:val="11"/>
              </w:rPr>
              <w:t>本附件所集中列示的废标条件，是本章“评标办法</w:t>
            </w:r>
            <w:r>
              <w:rPr>
                <w:spacing w:val="-67"/>
              </w:rPr>
              <w:t xml:space="preserve"> </w:t>
            </w:r>
            <w:r>
              <w:rPr>
                <w:spacing w:val="11"/>
              </w:rPr>
              <w:t>”的组成部分，是对第二章“投</w:t>
            </w:r>
            <w:r>
              <w:t xml:space="preserve"> </w:t>
            </w:r>
            <w:r>
              <w:rPr>
                <w:spacing w:val="11"/>
              </w:rPr>
              <w:t>标人须知</w:t>
            </w:r>
            <w:r>
              <w:rPr>
                <w:spacing w:val="-67"/>
              </w:rPr>
              <w:t xml:space="preserve"> </w:t>
            </w:r>
            <w:r>
              <w:rPr>
                <w:spacing w:val="11"/>
              </w:rPr>
              <w:t>”和本章正文部分所规定的废标条件的总结和补充，如果出现相互矛盾的情</w:t>
            </w:r>
            <w:r>
              <w:t xml:space="preserve"> </w:t>
            </w:r>
            <w:r>
              <w:rPr>
                <w:spacing w:val="6"/>
              </w:rPr>
              <w:t>况，</w:t>
            </w:r>
            <w:r>
              <w:rPr>
                <w:spacing w:val="-50"/>
              </w:rPr>
              <w:t xml:space="preserve"> </w:t>
            </w:r>
            <w:r>
              <w:rPr>
                <w:spacing w:val="6"/>
              </w:rPr>
              <w:t>以第二章“投标人须知</w:t>
            </w:r>
            <w:r>
              <w:rPr>
                <w:spacing w:val="-70"/>
              </w:rPr>
              <w:t xml:space="preserve"> </w:t>
            </w:r>
            <w:r>
              <w:rPr>
                <w:spacing w:val="6"/>
              </w:rPr>
              <w:t>”和本章正文部分的规定为准。</w:t>
            </w:r>
          </w:p>
          <w:p>
            <w:pPr>
              <w:pStyle w:val="6"/>
              <w:spacing w:before="32" w:line="228" w:lineRule="auto"/>
              <w:ind w:left="325"/>
            </w:pPr>
            <w:r>
              <w:rPr>
                <w:b/>
                <w:bCs/>
                <w:spacing w:val="3"/>
              </w:rPr>
              <w:t>2.</w:t>
            </w:r>
            <w:r>
              <w:rPr>
                <w:spacing w:val="17"/>
              </w:rPr>
              <w:t xml:space="preserve"> </w:t>
            </w:r>
            <w:r>
              <w:rPr>
                <w:b/>
                <w:bCs/>
                <w:spacing w:val="3"/>
              </w:rPr>
              <w:t>废标条件</w:t>
            </w:r>
          </w:p>
          <w:p>
            <w:pPr>
              <w:pStyle w:val="6"/>
              <w:spacing w:before="221" w:line="228" w:lineRule="auto"/>
              <w:ind w:left="325"/>
            </w:pPr>
            <w:r>
              <w:rPr>
                <w:spacing w:val="9"/>
              </w:rPr>
              <w:t>投标人或其投标文件有下列情形之一的，其投标作废标处理：</w:t>
            </w:r>
          </w:p>
          <w:p>
            <w:pPr>
              <w:pStyle w:val="6"/>
              <w:spacing w:before="221" w:line="227" w:lineRule="auto"/>
              <w:ind w:left="325"/>
            </w:pPr>
            <w:r>
              <w:rPr>
                <w:spacing w:val="8"/>
              </w:rPr>
              <w:t>2.1</w:t>
            </w:r>
            <w:r>
              <w:rPr>
                <w:spacing w:val="-40"/>
              </w:rPr>
              <w:t xml:space="preserve"> </w:t>
            </w:r>
            <w:r>
              <w:rPr>
                <w:spacing w:val="8"/>
              </w:rPr>
              <w:t>第二章投标人须知规定的任何一种情</w:t>
            </w:r>
            <w:r>
              <w:rPr>
                <w:spacing w:val="7"/>
              </w:rPr>
              <w:t>形的；</w:t>
            </w:r>
          </w:p>
          <w:p>
            <w:pPr>
              <w:pStyle w:val="6"/>
              <w:spacing w:before="222" w:line="227" w:lineRule="auto"/>
              <w:ind w:left="325"/>
            </w:pPr>
            <w:r>
              <w:rPr>
                <w:spacing w:val="8"/>
              </w:rPr>
              <w:t>2.2</w:t>
            </w:r>
            <w:r>
              <w:rPr>
                <w:spacing w:val="-40"/>
              </w:rPr>
              <w:t xml:space="preserve"> </w:t>
            </w:r>
            <w:r>
              <w:rPr>
                <w:spacing w:val="8"/>
              </w:rPr>
              <w:t>有串通投标或弄虚作假或有其他违法行为的；</w:t>
            </w:r>
          </w:p>
          <w:p>
            <w:pPr>
              <w:pStyle w:val="6"/>
              <w:spacing w:before="222" w:line="227" w:lineRule="auto"/>
              <w:ind w:left="325"/>
            </w:pPr>
            <w:r>
              <w:rPr>
                <w:spacing w:val="7"/>
              </w:rPr>
              <w:t>2.3</w:t>
            </w:r>
            <w:r>
              <w:rPr>
                <w:spacing w:val="-21"/>
              </w:rPr>
              <w:t xml:space="preserve"> </w:t>
            </w:r>
            <w:r>
              <w:rPr>
                <w:spacing w:val="7"/>
              </w:rPr>
              <w:t>不按评标委员会要求澄清、说明或补正的；</w:t>
            </w:r>
          </w:p>
          <w:p>
            <w:pPr>
              <w:pStyle w:val="6"/>
              <w:spacing w:before="223" w:line="329" w:lineRule="auto"/>
              <w:ind w:left="113" w:right="137" w:firstLine="212"/>
            </w:pPr>
            <w:r>
              <w:rPr>
                <w:spacing w:val="6"/>
              </w:rPr>
              <w:t>2.4</w:t>
            </w:r>
            <w:r>
              <w:rPr>
                <w:spacing w:val="-30"/>
              </w:rPr>
              <w:t xml:space="preserve"> </w:t>
            </w:r>
            <w:r>
              <w:rPr>
                <w:spacing w:val="6"/>
              </w:rPr>
              <w:t>在形式评审、资格评审（适用于未进行资格预审的）、响应性评审中，评标委员</w:t>
            </w:r>
            <w:r>
              <w:t xml:space="preserve"> </w:t>
            </w:r>
            <w:r>
              <w:rPr>
                <w:spacing w:val="9"/>
              </w:rPr>
              <w:t>会认定投标人的投标不符合评标办法前附表中规定的任何一项评审标准的；</w:t>
            </w:r>
          </w:p>
          <w:p>
            <w:pPr>
              <w:pStyle w:val="6"/>
              <w:spacing w:before="221" w:line="330" w:lineRule="auto"/>
              <w:ind w:left="113" w:right="243" w:firstLine="211"/>
            </w:pPr>
            <w:r>
              <w:rPr>
                <w:spacing w:val="9"/>
              </w:rPr>
              <w:t>2.5</w:t>
            </w:r>
            <w:r>
              <w:rPr>
                <w:spacing w:val="-27"/>
              </w:rPr>
              <w:t xml:space="preserve"> </w:t>
            </w:r>
            <w:r>
              <w:rPr>
                <w:spacing w:val="9"/>
              </w:rPr>
              <w:t>当投标人资格预审申请文件的内容发生重大变化</w:t>
            </w:r>
            <w:r>
              <w:rPr>
                <w:spacing w:val="8"/>
              </w:rPr>
              <w:t>时，其在投标文件中更新的资</w:t>
            </w:r>
            <w:r>
              <w:t xml:space="preserve"> </w:t>
            </w:r>
            <w:r>
              <w:rPr>
                <w:spacing w:val="10"/>
              </w:rPr>
              <w:t>料，未能通过资格评审的</w:t>
            </w:r>
            <w:r>
              <w:rPr>
                <w:spacing w:val="-54"/>
              </w:rPr>
              <w:t>；（</w:t>
            </w:r>
            <w:r>
              <w:rPr>
                <w:spacing w:val="10"/>
              </w:rPr>
              <w:t>适用于已进行资格预审的）</w:t>
            </w:r>
          </w:p>
          <w:p>
            <w:pPr>
              <w:pStyle w:val="6"/>
              <w:spacing w:before="222" w:line="330" w:lineRule="auto"/>
              <w:ind w:left="114" w:right="109" w:firstLine="210"/>
            </w:pPr>
            <w:r>
              <w:rPr>
                <w:spacing w:val="7"/>
              </w:rPr>
              <w:t>2.6</w:t>
            </w:r>
            <w:r>
              <w:rPr>
                <w:spacing w:val="-39"/>
              </w:rPr>
              <w:t xml:space="preserve"> </w:t>
            </w:r>
            <w:r>
              <w:rPr>
                <w:spacing w:val="7"/>
              </w:rPr>
              <w:t>在施工组织设计和项目管理机构评审中，评标委员会认定投标人的投标未能通过</w:t>
            </w:r>
            <w:r>
              <w:t xml:space="preserve"> </w:t>
            </w:r>
            <w:r>
              <w:rPr>
                <w:spacing w:val="6"/>
              </w:rPr>
              <w:t>此项评审的；</w:t>
            </w:r>
          </w:p>
          <w:p>
            <w:pPr>
              <w:pStyle w:val="6"/>
              <w:spacing w:before="221" w:line="226" w:lineRule="auto"/>
              <w:ind w:left="325"/>
            </w:pPr>
            <w:r>
              <w:rPr>
                <w:spacing w:val="8"/>
              </w:rPr>
              <w:t>2.7</w:t>
            </w:r>
            <w:r>
              <w:rPr>
                <w:spacing w:val="-39"/>
              </w:rPr>
              <w:t xml:space="preserve"> </w:t>
            </w:r>
            <w:r>
              <w:rPr>
                <w:spacing w:val="8"/>
              </w:rPr>
              <w:t>评标委员会认定投标人以低于成本报价竞标的；</w:t>
            </w:r>
          </w:p>
          <w:p>
            <w:pPr>
              <w:pStyle w:val="6"/>
              <w:spacing w:before="223" w:line="226" w:lineRule="auto"/>
              <w:ind w:left="325"/>
            </w:pPr>
            <w:r>
              <w:rPr>
                <w:spacing w:val="9"/>
              </w:rPr>
              <w:t>2.8</w:t>
            </w:r>
            <w:r>
              <w:rPr>
                <w:spacing w:val="-36"/>
              </w:rPr>
              <w:t xml:space="preserve"> </w:t>
            </w:r>
            <w:r>
              <w:rPr>
                <w:spacing w:val="9"/>
              </w:rPr>
              <w:t>与其他投标人的投标文件分部、分项报</w:t>
            </w:r>
            <w:r>
              <w:rPr>
                <w:spacing w:val="8"/>
              </w:rPr>
              <w:t>价错漏一致，且没有合理解释的；</w:t>
            </w:r>
          </w:p>
          <w:p>
            <w:pPr>
              <w:pStyle w:val="6"/>
              <w:spacing w:before="223" w:line="228" w:lineRule="auto"/>
              <w:ind w:left="325"/>
            </w:pPr>
            <w:r>
              <w:rPr>
                <w:spacing w:val="8"/>
              </w:rPr>
              <w:t>2.9</w:t>
            </w:r>
            <w:r>
              <w:rPr>
                <w:spacing w:val="-24"/>
              </w:rPr>
              <w:t xml:space="preserve"> </w:t>
            </w:r>
            <w:r>
              <w:rPr>
                <w:spacing w:val="8"/>
              </w:rPr>
              <w:t>与其他投标人的投标文件载明的项目管理班子成员出现重复的；</w:t>
            </w:r>
          </w:p>
          <w:p>
            <w:pPr>
              <w:pStyle w:val="6"/>
              <w:spacing w:before="221" w:line="228" w:lineRule="auto"/>
              <w:ind w:left="325"/>
            </w:pPr>
            <w:r>
              <w:rPr>
                <w:spacing w:val="7"/>
              </w:rPr>
              <w:t>2.10</w:t>
            </w:r>
            <w:r>
              <w:rPr>
                <w:spacing w:val="-29"/>
              </w:rPr>
              <w:t xml:space="preserve"> </w:t>
            </w:r>
            <w:r>
              <w:rPr>
                <w:spacing w:val="7"/>
              </w:rPr>
              <w:t>与其他投标人的投标文件相互混装的；</w:t>
            </w:r>
          </w:p>
          <w:p>
            <w:pPr>
              <w:pStyle w:val="6"/>
              <w:spacing w:before="222" w:line="330" w:lineRule="auto"/>
              <w:ind w:left="114" w:right="138" w:firstLine="210"/>
            </w:pPr>
            <w:r>
              <w:rPr>
                <w:spacing w:val="9"/>
              </w:rPr>
              <w:t>2.11</w:t>
            </w:r>
            <w:r>
              <w:rPr>
                <w:spacing w:val="-37"/>
              </w:rPr>
              <w:t xml:space="preserve"> </w:t>
            </w:r>
            <w:r>
              <w:rPr>
                <w:spacing w:val="9"/>
              </w:rPr>
              <w:t>不同投标人使用同一个人或者同一企业资金交纳投标保证金或</w:t>
            </w:r>
            <w:r>
              <w:rPr>
                <w:spacing w:val="8"/>
              </w:rPr>
              <w:t>者投标函的反担</w:t>
            </w:r>
            <w:r>
              <w:t xml:space="preserve"> </w:t>
            </w:r>
            <w:r>
              <w:rPr>
                <w:spacing w:val="2"/>
              </w:rPr>
              <w:t>保的；</w:t>
            </w:r>
          </w:p>
          <w:p>
            <w:pPr>
              <w:pStyle w:val="6"/>
              <w:spacing w:before="221" w:line="329" w:lineRule="auto"/>
              <w:ind w:left="119" w:right="138" w:firstLine="205"/>
            </w:pPr>
            <w:r>
              <w:rPr>
                <w:spacing w:val="9"/>
              </w:rPr>
              <w:t>2.12</w:t>
            </w:r>
            <w:r>
              <w:rPr>
                <w:spacing w:val="-37"/>
              </w:rPr>
              <w:t xml:space="preserve"> </w:t>
            </w:r>
            <w:r>
              <w:rPr>
                <w:spacing w:val="9"/>
              </w:rPr>
              <w:t>不同投标人聘请同一人为其投标提供技术或者经济咨询服务的</w:t>
            </w:r>
            <w:r>
              <w:rPr>
                <w:spacing w:val="8"/>
              </w:rPr>
              <w:t>，但招标工程本</w:t>
            </w:r>
            <w:r>
              <w:t xml:space="preserve"> </w:t>
            </w:r>
            <w:r>
              <w:rPr>
                <w:spacing w:val="9"/>
              </w:rPr>
              <w:t>身要求采用专有技术的除外；采用专有技术，并征得招标人同意的除外；</w:t>
            </w:r>
          </w:p>
          <w:p>
            <w:pPr>
              <w:pStyle w:val="6"/>
              <w:spacing w:before="222" w:line="228" w:lineRule="auto"/>
              <w:ind w:left="325"/>
            </w:pPr>
            <w:r>
              <w:rPr>
                <w:spacing w:val="7"/>
              </w:rPr>
              <w:t>2.13</w:t>
            </w:r>
            <w:r>
              <w:rPr>
                <w:spacing w:val="-35"/>
              </w:rPr>
              <w:t xml:space="preserve"> </w:t>
            </w:r>
            <w:r>
              <w:rPr>
                <w:spacing w:val="7"/>
              </w:rPr>
              <w:t>其他情况能够证明有陪标行为的；</w:t>
            </w:r>
          </w:p>
          <w:p>
            <w:pPr>
              <w:pStyle w:val="6"/>
              <w:spacing w:before="221" w:line="227" w:lineRule="auto"/>
              <w:ind w:left="325"/>
            </w:pPr>
            <w:r>
              <w:rPr>
                <w:spacing w:val="7"/>
              </w:rPr>
              <w:t>2.14</w:t>
            </w:r>
            <w:r>
              <w:rPr>
                <w:spacing w:val="-23"/>
              </w:rPr>
              <w:t xml:space="preserve"> </w:t>
            </w:r>
            <w:r>
              <w:rPr>
                <w:spacing w:val="7"/>
              </w:rPr>
              <w:t>投标人未按招标文件的规定出席开标会的。</w:t>
            </w:r>
          </w:p>
          <w:p>
            <w:pPr>
              <w:pStyle w:val="6"/>
              <w:spacing w:before="222" w:line="417" w:lineRule="auto"/>
              <w:ind w:left="124" w:right="72" w:firstLine="201"/>
            </w:pPr>
            <w:r>
              <w:rPr>
                <w:b/>
                <w:bCs/>
                <w:spacing w:val="8"/>
              </w:rPr>
              <w:t>2.15</w:t>
            </w:r>
            <w:r>
              <w:rPr>
                <w:spacing w:val="-38"/>
              </w:rPr>
              <w:t xml:space="preserve"> </w:t>
            </w:r>
            <w:r>
              <w:rPr>
                <w:b/>
                <w:bCs/>
                <w:spacing w:val="8"/>
              </w:rPr>
              <w:t>工程量清单中投标单价要求小数点</w:t>
            </w:r>
            <w:r>
              <w:rPr>
                <w:b/>
                <w:bCs/>
                <w:spacing w:val="7"/>
              </w:rPr>
              <w:t>后保留两位，合价、总价均要求精确至个位</w:t>
            </w:r>
            <w:r>
              <w:t xml:space="preserve">  </w:t>
            </w:r>
            <w:r>
              <w:rPr>
                <w:b/>
                <w:bCs/>
                <w:spacing w:val="3"/>
              </w:rPr>
              <w:t>（四舍五入</w:t>
            </w:r>
            <w:r>
              <w:rPr>
                <w:b/>
                <w:bCs/>
                <w:spacing w:val="-30"/>
              </w:rPr>
              <w:t>），</w:t>
            </w:r>
            <w:r>
              <w:rPr>
                <w:b/>
                <w:bCs/>
                <w:spacing w:val="3"/>
              </w:rPr>
              <w:t>否则作废标处理。（数字后出现的“.00</w:t>
            </w:r>
            <w:r>
              <w:rPr>
                <w:spacing w:val="-73"/>
              </w:rPr>
              <w:t xml:space="preserve"> </w:t>
            </w:r>
            <w:r>
              <w:rPr>
                <w:b/>
                <w:bCs/>
                <w:spacing w:val="3"/>
              </w:rPr>
              <w:t>”视为符合精确至个位的要求）</w:t>
            </w:r>
          </w:p>
        </w:tc>
      </w:tr>
    </w:tbl>
    <w:p>
      <w:pPr>
        <w:rPr>
          <w:rFonts w:ascii="Arial"/>
          <w:sz w:val="21"/>
        </w:rPr>
      </w:pPr>
    </w:p>
    <w:p>
      <w:pPr>
        <w:rPr>
          <w:rFonts w:ascii="Arial" w:hAnsi="Arial" w:eastAsia="Arial" w:cs="Arial"/>
          <w:sz w:val="21"/>
          <w:szCs w:val="21"/>
        </w:rPr>
        <w:sectPr>
          <w:headerReference r:id="rId5" w:type="default"/>
          <w:pgSz w:w="11906" w:h="16839"/>
          <w:pgMar w:top="1183" w:right="751" w:bottom="0" w:left="751" w:header="866" w:footer="0" w:gutter="0"/>
          <w:cols w:space="720" w:num="1"/>
        </w:sectPr>
      </w:pPr>
    </w:p>
    <w:p>
      <w:pPr>
        <w:spacing w:before="15"/>
      </w:pPr>
    </w:p>
    <w:tbl>
      <w:tblPr>
        <w:tblStyle w:val="5"/>
        <w:tblW w:w="103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6"/>
        <w:gridCol w:w="1464"/>
        <w:gridCol w:w="80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29" w:hRule="atLeast"/>
        </w:trPr>
        <w:tc>
          <w:tcPr>
            <w:tcW w:w="866"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5" w:line="190" w:lineRule="auto"/>
              <w:ind w:left="178"/>
            </w:pPr>
            <w:r>
              <w:rPr>
                <w:spacing w:val="2"/>
              </w:rPr>
              <w:t>2.1.1</w:t>
            </w:r>
          </w:p>
          <w:p>
            <w:pPr>
              <w:spacing w:line="279" w:lineRule="auto"/>
              <w:rPr>
                <w:rFonts w:ascii="Arial"/>
                <w:sz w:val="21"/>
              </w:rPr>
            </w:pPr>
          </w:p>
          <w:p>
            <w:pPr>
              <w:pStyle w:val="6"/>
              <w:spacing w:before="65" w:line="190" w:lineRule="auto"/>
              <w:ind w:left="178"/>
            </w:pPr>
            <w:r>
              <w:rPr>
                <w:spacing w:val="2"/>
              </w:rPr>
              <w:t>2.1.3</w:t>
            </w:r>
          </w:p>
        </w:tc>
        <w:tc>
          <w:tcPr>
            <w:tcW w:w="146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5" w:line="228" w:lineRule="auto"/>
              <w:ind w:left="212"/>
            </w:pPr>
            <w:r>
              <w:rPr>
                <w:spacing w:val="7"/>
              </w:rPr>
              <w:t>形式评审与</w:t>
            </w:r>
          </w:p>
          <w:p>
            <w:pPr>
              <w:pStyle w:val="6"/>
              <w:spacing w:before="64" w:line="228" w:lineRule="auto"/>
              <w:ind w:left="220"/>
            </w:pPr>
            <w:r>
              <w:rPr>
                <w:spacing w:val="6"/>
              </w:rPr>
              <w:t>响应性评审</w:t>
            </w:r>
          </w:p>
          <w:p>
            <w:pPr>
              <w:pStyle w:val="6"/>
              <w:spacing w:before="65" w:line="228" w:lineRule="auto"/>
              <w:ind w:left="527"/>
            </w:pPr>
            <w:r>
              <w:rPr>
                <w:spacing w:val="4"/>
              </w:rPr>
              <w:t>标准</w:t>
            </w:r>
          </w:p>
        </w:tc>
        <w:tc>
          <w:tcPr>
            <w:tcW w:w="8068" w:type="dxa"/>
            <w:vAlign w:val="top"/>
          </w:tcPr>
          <w:p>
            <w:pPr>
              <w:pStyle w:val="6"/>
              <w:spacing w:before="197" w:line="228" w:lineRule="auto"/>
              <w:ind w:left="428"/>
            </w:pPr>
            <w:r>
              <w:rPr>
                <w:b/>
                <w:bCs/>
                <w:spacing w:val="7"/>
              </w:rPr>
              <w:t>第一个信封（商务及技术文件）评审标准：</w:t>
            </w:r>
          </w:p>
          <w:p>
            <w:pPr>
              <w:pStyle w:val="6"/>
              <w:spacing w:before="161" w:line="228" w:lineRule="auto"/>
              <w:ind w:left="332"/>
            </w:pPr>
            <w:r>
              <w:rPr>
                <w:spacing w:val="9"/>
              </w:rPr>
              <w:t>（1）投标文件按照招标文件规定的格式、内容填写，</w:t>
            </w:r>
            <w:r>
              <w:rPr>
                <w:spacing w:val="8"/>
              </w:rPr>
              <w:t>字迹清晰可</w:t>
            </w:r>
            <w:r>
              <w:rPr>
                <w:rFonts w:hint="eastAsia"/>
                <w:spacing w:val="8"/>
                <w:lang w:eastAsia="zh-CN"/>
              </w:rPr>
              <w:t>辨</w:t>
            </w:r>
            <w:r>
              <w:rPr>
                <w:spacing w:val="8"/>
              </w:rPr>
              <w:t>；</w:t>
            </w:r>
          </w:p>
          <w:p>
            <w:pPr>
              <w:pStyle w:val="6"/>
              <w:spacing w:before="162" w:line="362" w:lineRule="auto"/>
              <w:ind w:left="113" w:right="109" w:firstLine="210"/>
            </w:pPr>
            <w:r>
              <w:rPr>
                <w:spacing w:val="6"/>
              </w:rPr>
              <w:t>a.投标函按招标文件规定填报了项目名称、标段号、补遗书编号（如有）、工期、工</w:t>
            </w:r>
            <w:r>
              <w:rPr>
                <w:spacing w:val="1"/>
              </w:rPr>
              <w:t xml:space="preserve"> </w:t>
            </w:r>
            <w:r>
              <w:rPr>
                <w:spacing w:val="8"/>
              </w:rPr>
              <w:t>程质量要求及安全目标；</w:t>
            </w:r>
          </w:p>
          <w:p>
            <w:pPr>
              <w:pStyle w:val="6"/>
              <w:spacing w:before="33" w:line="227" w:lineRule="auto"/>
              <w:ind w:left="319"/>
            </w:pPr>
            <w:r>
              <w:rPr>
                <w:spacing w:val="8"/>
              </w:rPr>
              <w:t>b.投标函附录的所有数据均符合招标文件规定；</w:t>
            </w:r>
          </w:p>
          <w:p>
            <w:pPr>
              <w:pStyle w:val="6"/>
              <w:spacing w:before="161" w:line="228" w:lineRule="auto"/>
              <w:ind w:left="326"/>
            </w:pPr>
            <w:r>
              <w:rPr>
                <w:spacing w:val="8"/>
              </w:rPr>
              <w:t>c.投标文件组成齐全完整，内容均按规定填写。</w:t>
            </w:r>
          </w:p>
          <w:p>
            <w:pPr>
              <w:pStyle w:val="6"/>
              <w:spacing w:before="161" w:line="302" w:lineRule="auto"/>
              <w:ind w:left="115" w:right="136" w:firstLine="217"/>
            </w:pPr>
            <w:r>
              <w:rPr>
                <w:spacing w:val="8"/>
              </w:rPr>
              <w:t>（2）投标文件上法定代表人或其授权代理人的签字、投标人的单位公章盖</w:t>
            </w:r>
            <w:r>
              <w:rPr>
                <w:spacing w:val="7"/>
              </w:rPr>
              <w:t>章齐全，</w:t>
            </w:r>
            <w:r>
              <w:t xml:space="preserve"> </w:t>
            </w:r>
            <w:r>
              <w:rPr>
                <w:spacing w:val="7"/>
              </w:rPr>
              <w:t>符合招标文件规定；</w:t>
            </w:r>
          </w:p>
          <w:p>
            <w:pPr>
              <w:pStyle w:val="6"/>
              <w:spacing w:before="161" w:line="227" w:lineRule="auto"/>
              <w:ind w:left="332"/>
            </w:pPr>
            <w:r>
              <w:rPr>
                <w:spacing w:val="8"/>
              </w:rPr>
              <w:t>（3）投标人按照招标文件规定提供了投标保证金：</w:t>
            </w:r>
          </w:p>
          <w:p>
            <w:pPr>
              <w:pStyle w:val="6"/>
              <w:spacing w:before="161" w:line="365" w:lineRule="auto"/>
              <w:ind w:left="116" w:right="109" w:firstLine="207"/>
            </w:pPr>
            <w:r>
              <w:rPr>
                <w:spacing w:val="12"/>
              </w:rPr>
              <w:t>a.投标保证金金额符合招标文件规定的金额，且</w:t>
            </w:r>
            <w:r>
              <w:rPr>
                <w:spacing w:val="11"/>
              </w:rPr>
              <w:t>投标保证金有效期不少于投标有效</w:t>
            </w:r>
            <w:r>
              <w:t xml:space="preserve"> </w:t>
            </w:r>
            <w:r>
              <w:rPr>
                <w:spacing w:val="-1"/>
              </w:rPr>
              <w:t>期；</w:t>
            </w:r>
          </w:p>
          <w:p>
            <w:pPr>
              <w:pStyle w:val="6"/>
              <w:spacing w:before="28" w:line="367" w:lineRule="auto"/>
              <w:ind w:left="112" w:right="109" w:firstLine="207"/>
            </w:pPr>
            <w:r>
              <w:rPr>
                <w:spacing w:val="12"/>
              </w:rPr>
              <w:t>b.投标保证金采用现金或支票形式提交，投标人应在递交</w:t>
            </w:r>
            <w:r>
              <w:rPr>
                <w:spacing w:val="11"/>
              </w:rPr>
              <w:t>投标文件截止时间之前，</w:t>
            </w:r>
            <w:r>
              <w:t xml:space="preserve"> </w:t>
            </w:r>
            <w:r>
              <w:rPr>
                <w:spacing w:val="12"/>
              </w:rPr>
              <w:t>将投标保证金由投标人的基本账户汇出转入招标人指定账户；投标文件中应</w:t>
            </w:r>
            <w:r>
              <w:rPr>
                <w:spacing w:val="11"/>
              </w:rPr>
              <w:t>提供投标</w:t>
            </w:r>
            <w:r>
              <w:t xml:space="preserve"> </w:t>
            </w:r>
            <w:r>
              <w:rPr>
                <w:spacing w:val="8"/>
              </w:rPr>
              <w:t>保证金汇款凭单的影印件；</w:t>
            </w:r>
          </w:p>
          <w:p>
            <w:pPr>
              <w:pStyle w:val="6"/>
              <w:spacing w:before="35" w:line="362" w:lineRule="auto"/>
              <w:ind w:left="114" w:right="109" w:firstLine="212"/>
            </w:pPr>
            <w:r>
              <w:rPr>
                <w:spacing w:val="11"/>
              </w:rPr>
              <w:t>c.若投标保证金采用银行保函形式提交，银行保函的格式、开具保函的银行均满足</w:t>
            </w:r>
            <w:r>
              <w:rPr>
                <w:spacing w:val="18"/>
              </w:rPr>
              <w:t xml:space="preserve"> </w:t>
            </w:r>
            <w:r>
              <w:rPr>
                <w:spacing w:val="9"/>
              </w:rPr>
              <w:t>招标文件的要求，且在递交投标文件截止时间之前向招标人提交了银行保函原件。</w:t>
            </w:r>
          </w:p>
          <w:p>
            <w:pPr>
              <w:pStyle w:val="6"/>
              <w:spacing w:before="30" w:line="327" w:lineRule="auto"/>
              <w:ind w:left="113" w:right="106" w:firstLine="219"/>
            </w:pPr>
            <w:r>
              <w:rPr>
                <w:spacing w:val="9"/>
              </w:rPr>
              <w:t>（4）投标人法定代表人授权委托代理人签署投标文件</w:t>
            </w:r>
            <w:r>
              <w:rPr>
                <w:spacing w:val="8"/>
              </w:rPr>
              <w:t>的，须提交授权委托书，且授</w:t>
            </w:r>
            <w:r>
              <w:t xml:space="preserve"> </w:t>
            </w:r>
            <w:r>
              <w:rPr>
                <w:spacing w:val="17"/>
              </w:rPr>
              <w:t>权人和被授权人均在授权委托书上使用</w:t>
            </w:r>
            <w:r>
              <w:rPr>
                <w:spacing w:val="-35"/>
              </w:rPr>
              <w:t xml:space="preserve"> </w:t>
            </w:r>
            <w:r>
              <w:rPr>
                <w:rFonts w:ascii="Times New Roman" w:hAnsi="Times New Roman" w:eastAsia="Times New Roman" w:cs="Times New Roman"/>
              </w:rPr>
              <w:t>CA</w:t>
            </w:r>
            <w:r>
              <w:rPr>
                <w:rFonts w:ascii="Times New Roman" w:hAnsi="Times New Roman" w:eastAsia="Times New Roman" w:cs="Times New Roman"/>
                <w:spacing w:val="17"/>
              </w:rPr>
              <w:t xml:space="preserve">  </w:t>
            </w:r>
            <w:r>
              <w:rPr>
                <w:spacing w:val="17"/>
              </w:rPr>
              <w:t>数字证书</w:t>
            </w:r>
            <w:r>
              <w:rPr>
                <w:spacing w:val="16"/>
              </w:rPr>
              <w:t>加盖个人电子印章或电子签名</w:t>
            </w:r>
            <w:r>
              <w:t xml:space="preserve"> 章。</w:t>
            </w:r>
          </w:p>
          <w:p>
            <w:pPr>
              <w:pStyle w:val="6"/>
              <w:spacing w:before="162" w:line="303" w:lineRule="auto"/>
              <w:ind w:left="113" w:right="109" w:firstLine="219"/>
            </w:pPr>
            <w:r>
              <w:rPr>
                <w:spacing w:val="9"/>
              </w:rPr>
              <w:t>（</w:t>
            </w:r>
            <w:r>
              <w:rPr>
                <w:rFonts w:ascii="Times New Roman" w:hAnsi="Times New Roman" w:eastAsia="Times New Roman" w:cs="Times New Roman"/>
                <w:spacing w:val="9"/>
              </w:rPr>
              <w:t>5</w:t>
            </w:r>
            <w:r>
              <w:rPr>
                <w:spacing w:val="9"/>
              </w:rPr>
              <w:t>）投标人法定代表人亲自签署投标文件的，提供了</w:t>
            </w:r>
            <w:r>
              <w:rPr>
                <w:spacing w:val="8"/>
              </w:rPr>
              <w:t>法定代表人身份证明，且法定</w:t>
            </w:r>
            <w:r>
              <w:t xml:space="preserve"> </w:t>
            </w:r>
            <w:r>
              <w:rPr>
                <w:spacing w:val="9"/>
              </w:rPr>
              <w:t>代表人在法定代表人身份证明上使用</w:t>
            </w:r>
            <w:r>
              <w:rPr>
                <w:spacing w:val="-40"/>
              </w:rPr>
              <w:t xml:space="preserve"> </w:t>
            </w:r>
            <w:r>
              <w:rPr>
                <w:rFonts w:ascii="Times New Roman" w:hAnsi="Times New Roman" w:eastAsia="Times New Roman" w:cs="Times New Roman"/>
              </w:rPr>
              <w:t>CA</w:t>
            </w:r>
            <w:r>
              <w:rPr>
                <w:rFonts w:ascii="Times New Roman" w:hAnsi="Times New Roman" w:eastAsia="Times New Roman" w:cs="Times New Roman"/>
                <w:spacing w:val="9"/>
              </w:rPr>
              <w:t xml:space="preserve">  </w:t>
            </w:r>
            <w:r>
              <w:rPr>
                <w:spacing w:val="9"/>
              </w:rPr>
              <w:t>数字证书加盖个人电子印章或电</w:t>
            </w:r>
            <w:r>
              <w:rPr>
                <w:spacing w:val="8"/>
              </w:rPr>
              <w:t>子签名章。</w:t>
            </w:r>
          </w:p>
          <w:p>
            <w:pPr>
              <w:pStyle w:val="6"/>
              <w:spacing w:before="162" w:line="228" w:lineRule="auto"/>
              <w:ind w:left="332"/>
            </w:pPr>
            <w:r>
              <w:rPr>
                <w:spacing w:val="9"/>
              </w:rPr>
              <w:t>（6）投标人以联合体形式投标时，联合体满</w:t>
            </w:r>
            <w:r>
              <w:rPr>
                <w:spacing w:val="8"/>
              </w:rPr>
              <w:t>足招标文件的要求：</w:t>
            </w:r>
          </w:p>
          <w:p>
            <w:pPr>
              <w:pStyle w:val="6"/>
              <w:spacing w:before="161" w:line="362" w:lineRule="auto"/>
              <w:ind w:left="133" w:right="109" w:firstLine="191"/>
            </w:pPr>
            <w:r>
              <w:rPr>
                <w:spacing w:val="12"/>
              </w:rPr>
              <w:t>投标人按照招标文件提供的格式签订了联合体协议书，明确各方承担连</w:t>
            </w:r>
            <w:r>
              <w:rPr>
                <w:spacing w:val="11"/>
              </w:rPr>
              <w:t>带责任，并</w:t>
            </w:r>
            <w:r>
              <w:t xml:space="preserve"> </w:t>
            </w:r>
            <w:r>
              <w:rPr>
                <w:spacing w:val="6"/>
              </w:rPr>
              <w:t>明确了联合体牵头人。</w:t>
            </w:r>
          </w:p>
          <w:p>
            <w:pPr>
              <w:pStyle w:val="6"/>
              <w:spacing w:before="34" w:line="302" w:lineRule="auto"/>
              <w:ind w:left="113" w:right="136" w:firstLine="218"/>
            </w:pPr>
            <w:r>
              <w:rPr>
                <w:spacing w:val="7"/>
              </w:rPr>
              <w:t>（7）投标人如有分包计划，符合招标文件第二章“投标</w:t>
            </w:r>
            <w:r>
              <w:rPr>
                <w:spacing w:val="6"/>
              </w:rPr>
              <w:t>人须知</w:t>
            </w:r>
            <w:r>
              <w:rPr>
                <w:spacing w:val="-73"/>
              </w:rPr>
              <w:t xml:space="preserve"> </w:t>
            </w:r>
            <w:r>
              <w:rPr>
                <w:spacing w:val="6"/>
              </w:rPr>
              <w:t>”第 1.11 款规定，</w:t>
            </w:r>
            <w:r>
              <w:t xml:space="preserve"> </w:t>
            </w:r>
            <w:r>
              <w:rPr>
                <w:spacing w:val="8"/>
              </w:rPr>
              <w:t>且按招标文件第九章“投标文件格式</w:t>
            </w:r>
            <w:r>
              <w:rPr>
                <w:spacing w:val="-54"/>
              </w:rPr>
              <w:t xml:space="preserve"> </w:t>
            </w:r>
            <w:r>
              <w:rPr>
                <w:spacing w:val="8"/>
              </w:rPr>
              <w:t>”的要求填写了“拟分包项目情况表</w:t>
            </w:r>
            <w:r>
              <w:rPr>
                <w:spacing w:val="-70"/>
              </w:rPr>
              <w:t xml:space="preserve"> </w:t>
            </w:r>
            <w:r>
              <w:rPr>
                <w:spacing w:val="8"/>
              </w:rPr>
              <w:t>”。</w:t>
            </w:r>
          </w:p>
          <w:p>
            <w:pPr>
              <w:pStyle w:val="6"/>
              <w:spacing w:before="260" w:line="387" w:lineRule="auto"/>
              <w:ind w:left="126" w:right="109" w:firstLine="206"/>
            </w:pPr>
            <w:r>
              <w:rPr>
                <w:spacing w:val="9"/>
              </w:rPr>
              <w:t>（8）同一投标人未提交两个以上不同的投标文件，但</w:t>
            </w:r>
            <w:r>
              <w:rPr>
                <w:spacing w:val="8"/>
              </w:rPr>
              <w:t>招标文件要求提交备选投标的</w:t>
            </w:r>
            <w:r>
              <w:t xml:space="preserve"> </w:t>
            </w:r>
            <w:r>
              <w:rPr>
                <w:spacing w:val="-1"/>
              </w:rPr>
              <w:t>除外。</w:t>
            </w:r>
          </w:p>
          <w:p>
            <w:pPr>
              <w:pStyle w:val="6"/>
              <w:spacing w:line="226" w:lineRule="auto"/>
              <w:ind w:left="332"/>
            </w:pPr>
            <w:r>
              <w:rPr>
                <w:spacing w:val="8"/>
              </w:rPr>
              <w:t>（9）投标文件中未出现有关投标报价的内容；</w:t>
            </w:r>
          </w:p>
          <w:p>
            <w:pPr>
              <w:pStyle w:val="6"/>
              <w:spacing w:before="261" w:line="228" w:lineRule="auto"/>
              <w:ind w:left="332"/>
            </w:pPr>
            <w:r>
              <w:rPr>
                <w:spacing w:val="9"/>
              </w:rPr>
              <w:t>（10）投标文件载明的招标项目完成期限未超过</w:t>
            </w:r>
            <w:r>
              <w:rPr>
                <w:spacing w:val="8"/>
              </w:rPr>
              <w:t>招标文件规定的时限。</w:t>
            </w:r>
          </w:p>
          <w:p>
            <w:pPr>
              <w:pStyle w:val="6"/>
              <w:spacing w:before="221" w:line="228" w:lineRule="auto"/>
              <w:ind w:left="332"/>
            </w:pPr>
            <w:r>
              <w:rPr>
                <w:spacing w:val="8"/>
              </w:rPr>
              <w:t>（11）投标文件对招标文件的实质性要求和条件作出响应；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866" w:type="dxa"/>
            <w:vAlign w:val="top"/>
          </w:tcPr>
          <w:p>
            <w:pPr>
              <w:spacing w:line="351" w:lineRule="auto"/>
              <w:rPr>
                <w:rFonts w:ascii="Arial"/>
                <w:sz w:val="21"/>
              </w:rPr>
            </w:pPr>
          </w:p>
          <w:p>
            <w:pPr>
              <w:pStyle w:val="6"/>
              <w:spacing w:before="65" w:line="190" w:lineRule="auto"/>
              <w:ind w:left="178"/>
            </w:pPr>
            <w:r>
              <w:rPr>
                <w:spacing w:val="2"/>
              </w:rPr>
              <w:t>2.1.1</w:t>
            </w:r>
          </w:p>
          <w:p>
            <w:pPr>
              <w:spacing w:line="279" w:lineRule="auto"/>
              <w:rPr>
                <w:rFonts w:ascii="Arial"/>
                <w:sz w:val="21"/>
              </w:rPr>
            </w:pPr>
          </w:p>
          <w:p>
            <w:pPr>
              <w:pStyle w:val="6"/>
              <w:spacing w:before="65" w:line="190" w:lineRule="auto"/>
              <w:ind w:left="178"/>
            </w:pPr>
            <w:r>
              <w:rPr>
                <w:spacing w:val="2"/>
              </w:rPr>
              <w:t>2.1.3</w:t>
            </w:r>
          </w:p>
        </w:tc>
        <w:tc>
          <w:tcPr>
            <w:tcW w:w="1464" w:type="dxa"/>
            <w:vAlign w:val="top"/>
          </w:tcPr>
          <w:p>
            <w:pPr>
              <w:spacing w:line="284" w:lineRule="auto"/>
              <w:rPr>
                <w:rFonts w:ascii="Arial"/>
                <w:sz w:val="21"/>
              </w:rPr>
            </w:pPr>
          </w:p>
          <w:p>
            <w:pPr>
              <w:pStyle w:val="6"/>
              <w:spacing w:before="65" w:line="228" w:lineRule="auto"/>
              <w:ind w:left="212"/>
            </w:pPr>
            <w:r>
              <w:rPr>
                <w:spacing w:val="7"/>
              </w:rPr>
              <w:t>形式评审与</w:t>
            </w:r>
          </w:p>
          <w:p>
            <w:pPr>
              <w:pStyle w:val="6"/>
              <w:spacing w:before="64" w:line="228" w:lineRule="auto"/>
              <w:ind w:left="220"/>
            </w:pPr>
            <w:r>
              <w:rPr>
                <w:spacing w:val="6"/>
              </w:rPr>
              <w:t>响应性评审</w:t>
            </w:r>
          </w:p>
          <w:p>
            <w:pPr>
              <w:pStyle w:val="6"/>
              <w:spacing w:before="64" w:line="228" w:lineRule="auto"/>
              <w:ind w:left="527"/>
            </w:pPr>
            <w:r>
              <w:rPr>
                <w:spacing w:val="4"/>
              </w:rPr>
              <w:t>标准</w:t>
            </w:r>
          </w:p>
        </w:tc>
        <w:tc>
          <w:tcPr>
            <w:tcW w:w="8068" w:type="dxa"/>
            <w:vAlign w:val="top"/>
          </w:tcPr>
          <w:p>
            <w:pPr>
              <w:pStyle w:val="6"/>
              <w:spacing w:before="134" w:line="228" w:lineRule="auto"/>
              <w:ind w:left="332"/>
            </w:pPr>
            <w:r>
              <w:rPr>
                <w:spacing w:val="7"/>
              </w:rPr>
              <w:t>（12）权利义务符合招标文件规定：</w:t>
            </w:r>
          </w:p>
          <w:p>
            <w:pPr>
              <w:pStyle w:val="6"/>
              <w:spacing w:before="221" w:line="368" w:lineRule="auto"/>
              <w:ind w:left="319" w:right="873" w:firstLine="4"/>
            </w:pPr>
            <w:r>
              <w:rPr>
                <w:spacing w:val="8"/>
              </w:rPr>
              <w:t>a.投标人应接受招标文件规定的风险划分原则，未提出新的</w:t>
            </w:r>
            <w:r>
              <w:rPr>
                <w:spacing w:val="7"/>
              </w:rPr>
              <w:t>风险划分办法；</w:t>
            </w:r>
            <w:r>
              <w:t xml:space="preserve"> </w:t>
            </w:r>
            <w:r>
              <w:rPr>
                <w:spacing w:val="9"/>
              </w:rPr>
              <w:t>b.投标人未增加发包人的责任范围，或减少投标人义务；</w:t>
            </w:r>
          </w:p>
        </w:tc>
      </w:tr>
    </w:tbl>
    <w:p>
      <w:pPr>
        <w:rPr>
          <w:rFonts w:ascii="Arial"/>
          <w:sz w:val="21"/>
        </w:rPr>
      </w:pPr>
    </w:p>
    <w:p>
      <w:pPr>
        <w:rPr>
          <w:rFonts w:ascii="Arial" w:hAnsi="Arial" w:eastAsia="Arial" w:cs="Arial"/>
          <w:sz w:val="21"/>
          <w:szCs w:val="21"/>
        </w:rPr>
        <w:sectPr>
          <w:pgSz w:w="11906" w:h="16839"/>
          <w:pgMar w:top="1183" w:right="751" w:bottom="0" w:left="751" w:header="866" w:footer="0" w:gutter="0"/>
          <w:cols w:space="720" w:num="1"/>
        </w:sectPr>
      </w:pPr>
    </w:p>
    <w:p>
      <w:pPr>
        <w:spacing w:before="15"/>
      </w:pPr>
    </w:p>
    <w:tbl>
      <w:tblPr>
        <w:tblStyle w:val="5"/>
        <w:tblW w:w="103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6"/>
        <w:gridCol w:w="1464"/>
        <w:gridCol w:w="80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12" w:hRule="atLeast"/>
        </w:trPr>
        <w:tc>
          <w:tcPr>
            <w:tcW w:w="866" w:type="dxa"/>
            <w:vAlign w:val="top"/>
          </w:tcPr>
          <w:p>
            <w:pPr>
              <w:rPr>
                <w:rFonts w:ascii="Arial"/>
                <w:sz w:val="21"/>
              </w:rPr>
            </w:pPr>
          </w:p>
        </w:tc>
        <w:tc>
          <w:tcPr>
            <w:tcW w:w="1464" w:type="dxa"/>
            <w:vAlign w:val="top"/>
          </w:tcPr>
          <w:p>
            <w:pPr>
              <w:rPr>
                <w:rFonts w:ascii="Arial"/>
                <w:sz w:val="21"/>
              </w:rPr>
            </w:pPr>
          </w:p>
        </w:tc>
        <w:tc>
          <w:tcPr>
            <w:tcW w:w="8068" w:type="dxa"/>
            <w:vAlign w:val="top"/>
          </w:tcPr>
          <w:p>
            <w:pPr>
              <w:pStyle w:val="6"/>
              <w:spacing w:before="133" w:line="417" w:lineRule="auto"/>
              <w:ind w:left="326" w:right="2972"/>
            </w:pPr>
            <w:r>
              <w:rPr>
                <w:spacing w:val="6"/>
              </w:rPr>
              <w:t>c.投标人未提出不同的工程验收、计量、支付办法；</w:t>
            </w:r>
            <w:r>
              <w:rPr>
                <w:spacing w:val="18"/>
              </w:rPr>
              <w:t xml:space="preserve"> </w:t>
            </w:r>
            <w:r>
              <w:rPr>
                <w:spacing w:val="8"/>
              </w:rPr>
              <w:t>d.投标人对合同纠纷、事故处理办法未提出异议；</w:t>
            </w:r>
          </w:p>
          <w:p>
            <w:pPr>
              <w:pStyle w:val="6"/>
              <w:spacing w:before="31" w:line="228" w:lineRule="auto"/>
              <w:ind w:left="327"/>
            </w:pPr>
            <w:r>
              <w:rPr>
                <w:spacing w:val="7"/>
              </w:rPr>
              <w:t>e.投标人在投标活动中无欺诈行为；</w:t>
            </w:r>
          </w:p>
          <w:p>
            <w:pPr>
              <w:pStyle w:val="6"/>
              <w:spacing w:before="220" w:line="228" w:lineRule="auto"/>
              <w:ind w:left="326"/>
            </w:pPr>
            <w:r>
              <w:rPr>
                <w:spacing w:val="8"/>
              </w:rPr>
              <w:t>f.投标人未对合同条款有重要保留。</w:t>
            </w:r>
          </w:p>
          <w:p>
            <w:pPr>
              <w:pStyle w:val="6"/>
              <w:spacing w:before="221" w:line="227" w:lineRule="auto"/>
              <w:ind w:left="332"/>
            </w:pPr>
            <w:r>
              <w:rPr>
                <w:spacing w:val="4"/>
              </w:rPr>
              <w:t>（13）“施工组织设计</w:t>
            </w:r>
            <w:r>
              <w:rPr>
                <w:spacing w:val="-53"/>
              </w:rPr>
              <w:t xml:space="preserve"> </w:t>
            </w:r>
            <w:r>
              <w:rPr>
                <w:spacing w:val="4"/>
              </w:rPr>
              <w:t>”采用暗标形式，其编制须满足招标文件要求。</w:t>
            </w:r>
          </w:p>
          <w:p>
            <w:pPr>
              <w:pStyle w:val="6"/>
              <w:spacing w:before="223" w:line="329" w:lineRule="auto"/>
              <w:ind w:left="114" w:right="222" w:firstLine="218"/>
            </w:pPr>
            <w:r>
              <w:rPr>
                <w:spacing w:val="8"/>
              </w:rPr>
              <w:t>（14）未发现投标人与其他投标人存在使用同一不可篡改的唯一标识软硬件设备投</w:t>
            </w:r>
            <w:r>
              <w:rPr>
                <w:spacing w:val="11"/>
              </w:rPr>
              <w:t xml:space="preserve"> </w:t>
            </w:r>
            <w:r>
              <w:rPr>
                <w:spacing w:val="6"/>
              </w:rPr>
              <w:t>标的（如：</w:t>
            </w:r>
            <w:r>
              <w:t>MAC</w:t>
            </w:r>
            <w:r>
              <w:rPr>
                <w:spacing w:val="-27"/>
              </w:rPr>
              <w:t xml:space="preserve"> </w:t>
            </w:r>
            <w:r>
              <w:rPr>
                <w:spacing w:val="6"/>
              </w:rPr>
              <w:t>地址、标书制作特征码、标书唯一特征码等）。</w:t>
            </w:r>
          </w:p>
          <w:p>
            <w:pPr>
              <w:pStyle w:val="6"/>
              <w:spacing w:before="222" w:line="227" w:lineRule="auto"/>
              <w:ind w:left="332"/>
            </w:pPr>
            <w:r>
              <w:rPr>
                <w:b/>
                <w:bCs/>
                <w:spacing w:val="7"/>
              </w:rPr>
              <w:t>（15）投标人须提供不拖欠农民工工资承诺书</w:t>
            </w:r>
          </w:p>
          <w:p>
            <w:pPr>
              <w:pStyle w:val="6"/>
              <w:spacing w:before="223" w:line="227" w:lineRule="auto"/>
              <w:ind w:left="332"/>
            </w:pPr>
            <w:r>
              <w:rPr>
                <w:b/>
                <w:bCs/>
                <w:spacing w:val="7"/>
              </w:rPr>
              <w:t>（16）项目经理、项目总工在岗要求书面承诺函</w:t>
            </w:r>
          </w:p>
          <w:p>
            <w:pPr>
              <w:pStyle w:val="6"/>
              <w:spacing w:before="222" w:line="227" w:lineRule="auto"/>
              <w:ind w:left="332"/>
            </w:pPr>
            <w:r>
              <w:rPr>
                <w:b/>
                <w:bCs/>
                <w:spacing w:val="7"/>
              </w:rPr>
              <w:t>（17）投标人财产(银行基本账户)未被接管或冻结承诺书</w:t>
            </w:r>
          </w:p>
          <w:p>
            <w:pPr>
              <w:pStyle w:val="6"/>
              <w:spacing w:before="222" w:line="226" w:lineRule="auto"/>
              <w:ind w:left="332"/>
            </w:pPr>
            <w:r>
              <w:rPr>
                <w:b/>
                <w:bCs/>
                <w:spacing w:val="7"/>
              </w:rPr>
              <w:t>（18）投标人须提供投标人告知承诺函</w:t>
            </w:r>
          </w:p>
          <w:p>
            <w:pPr>
              <w:pStyle w:val="6"/>
              <w:spacing w:before="223" w:line="227" w:lineRule="auto"/>
              <w:ind w:left="332"/>
            </w:pPr>
            <w:r>
              <w:rPr>
                <w:b/>
                <w:bCs/>
                <w:spacing w:val="4"/>
              </w:rPr>
              <w:t>（19）</w:t>
            </w:r>
            <w:r>
              <w:rPr>
                <w:spacing w:val="-46"/>
              </w:rPr>
              <w:t xml:space="preserve"> </w:t>
            </w:r>
            <w:r>
              <w:rPr>
                <w:b/>
                <w:bCs/>
                <w:spacing w:val="4"/>
              </w:rPr>
              <w:t>中标人不转包不违规分包承诺书</w:t>
            </w:r>
          </w:p>
          <w:p>
            <w:pPr>
              <w:pStyle w:val="6"/>
              <w:spacing w:before="222" w:line="328" w:lineRule="auto"/>
              <w:ind w:left="322" w:right="194" w:firstLine="213"/>
            </w:pPr>
            <w:r>
              <w:rPr>
                <w:b/>
                <w:bCs/>
                <w:spacing w:val="7"/>
              </w:rPr>
              <w:t>投标文件未满足以上任一条件的，其投标视为无效，评标委员会将否决其投标。</w:t>
            </w:r>
            <w:r>
              <w:rPr>
                <w:spacing w:val="12"/>
              </w:rPr>
              <w:t xml:space="preserve"> </w:t>
            </w:r>
            <w:r>
              <w:rPr>
                <w:b/>
                <w:bCs/>
                <w:spacing w:val="7"/>
              </w:rPr>
              <w:t>第二个信封（报价文件）评审标准：</w:t>
            </w:r>
          </w:p>
          <w:p>
            <w:pPr>
              <w:pStyle w:val="6"/>
              <w:spacing w:before="165" w:line="228" w:lineRule="auto"/>
              <w:ind w:right="14"/>
              <w:jc w:val="right"/>
            </w:pPr>
            <w:r>
              <w:rPr>
                <w:spacing w:val="6"/>
              </w:rPr>
              <w:t>（1）投标文件按照招标文件规定的格式、内容填写，</w:t>
            </w:r>
            <w:r>
              <w:rPr>
                <w:spacing w:val="5"/>
              </w:rPr>
              <w:t>字迹清晰可</w:t>
            </w:r>
            <w:r>
              <w:rPr>
                <w:rFonts w:hint="eastAsia"/>
                <w:spacing w:val="5"/>
                <w:lang w:eastAsia="zh-CN"/>
              </w:rPr>
              <w:t>辨</w:t>
            </w:r>
            <w:bookmarkStart w:id="1" w:name="_GoBack"/>
            <w:bookmarkEnd w:id="1"/>
            <w:r>
              <w:rPr>
                <w:spacing w:val="5"/>
              </w:rPr>
              <w:t>，内容齐全完整；</w:t>
            </w:r>
          </w:p>
          <w:p>
            <w:pPr>
              <w:pStyle w:val="6"/>
              <w:spacing w:before="222" w:line="417" w:lineRule="auto"/>
              <w:ind w:left="119" w:right="109" w:firstLine="415"/>
            </w:pPr>
            <w:r>
              <w:rPr>
                <w:spacing w:val="6"/>
              </w:rPr>
              <w:t>a.投标函按招标文件规定填报了项目名称、补遗书编号（如有）、投标价</w:t>
            </w:r>
            <w:r>
              <w:rPr>
                <w:spacing w:val="5"/>
              </w:rPr>
              <w:t>（包括大</w:t>
            </w:r>
            <w:r>
              <w:t xml:space="preserve"> </w:t>
            </w:r>
            <w:r>
              <w:rPr>
                <w:spacing w:val="7"/>
              </w:rPr>
              <w:t>写金额和小写金额</w:t>
            </w:r>
            <w:r>
              <w:rPr>
                <w:spacing w:val="-51"/>
              </w:rPr>
              <w:t>）；</w:t>
            </w:r>
          </w:p>
          <w:p>
            <w:pPr>
              <w:pStyle w:val="6"/>
              <w:spacing w:before="32" w:line="226" w:lineRule="auto"/>
              <w:ind w:left="530"/>
            </w:pPr>
            <w:r>
              <w:rPr>
                <w:spacing w:val="9"/>
              </w:rPr>
              <w:t>b.已标价报价清单说明文字与招标文件规定一致，未进行实质性修改和删减；</w:t>
            </w:r>
          </w:p>
          <w:p>
            <w:pPr>
              <w:pStyle w:val="6"/>
              <w:spacing w:before="223" w:line="228" w:lineRule="auto"/>
              <w:ind w:left="538"/>
            </w:pPr>
            <w:r>
              <w:rPr>
                <w:spacing w:val="8"/>
              </w:rPr>
              <w:t>c.投标文件组成齐全完整，内容均按规定填写。</w:t>
            </w:r>
          </w:p>
          <w:p>
            <w:pPr>
              <w:pStyle w:val="6"/>
              <w:spacing w:before="221" w:line="330" w:lineRule="auto"/>
              <w:ind w:left="115" w:right="136" w:firstLine="217"/>
            </w:pPr>
            <w:r>
              <w:rPr>
                <w:spacing w:val="8"/>
              </w:rPr>
              <w:t>（2）投标文件上法定代表人或其委托代理人的签字、投标人的单位公章盖</w:t>
            </w:r>
            <w:r>
              <w:rPr>
                <w:spacing w:val="7"/>
              </w:rPr>
              <w:t>章齐全，</w:t>
            </w:r>
            <w:r>
              <w:t xml:space="preserve"> </w:t>
            </w:r>
            <w:r>
              <w:rPr>
                <w:spacing w:val="7"/>
              </w:rPr>
              <w:t>符合招标文件规定。</w:t>
            </w:r>
          </w:p>
          <w:p>
            <w:pPr>
              <w:pStyle w:val="6"/>
              <w:spacing w:before="221" w:line="226" w:lineRule="auto"/>
              <w:ind w:left="332"/>
            </w:pPr>
            <w:r>
              <w:rPr>
                <w:spacing w:val="9"/>
              </w:rPr>
              <w:t>（3）投标报价或调价函中的报价未超过招标文件设定的最高投标限价（</w:t>
            </w:r>
            <w:r>
              <w:rPr>
                <w:spacing w:val="8"/>
              </w:rPr>
              <w:t>如有）</w:t>
            </w:r>
          </w:p>
          <w:p>
            <w:pPr>
              <w:pStyle w:val="6"/>
              <w:spacing w:before="223" w:line="226" w:lineRule="auto"/>
              <w:ind w:left="332"/>
            </w:pPr>
            <w:r>
              <w:rPr>
                <w:spacing w:val="9"/>
              </w:rPr>
              <w:t>（4）投标报价或调价函中报价的大写金额</w:t>
            </w:r>
            <w:r>
              <w:rPr>
                <w:spacing w:val="8"/>
              </w:rPr>
              <w:t>能够确定具体数值。</w:t>
            </w:r>
          </w:p>
          <w:p>
            <w:pPr>
              <w:pStyle w:val="6"/>
              <w:spacing w:before="224" w:line="226" w:lineRule="auto"/>
              <w:ind w:left="332"/>
            </w:pPr>
            <w:r>
              <w:rPr>
                <w:spacing w:val="8"/>
              </w:rPr>
              <w:t>（5）同一投标人未提交两个以上不同的投标报价。</w:t>
            </w:r>
          </w:p>
          <w:p>
            <w:pPr>
              <w:pStyle w:val="6"/>
              <w:spacing w:before="223" w:line="329" w:lineRule="auto"/>
              <w:ind w:left="131" w:right="106" w:firstLine="201"/>
            </w:pPr>
            <w:r>
              <w:rPr>
                <w:spacing w:val="9"/>
              </w:rPr>
              <w:t>（6）投标人若填写工程量清单，填写完毕的工程量</w:t>
            </w:r>
            <w:r>
              <w:rPr>
                <w:spacing w:val="8"/>
              </w:rPr>
              <w:t>清单未对工程量清单电子文件中</w:t>
            </w:r>
            <w:r>
              <w:t xml:space="preserve"> </w:t>
            </w:r>
            <w:r>
              <w:rPr>
                <w:spacing w:val="11"/>
              </w:rPr>
              <w:t>的数据、格式和运算定义进行修改；工程量清单中的投标报价和投标函大写金额报价</w:t>
            </w:r>
          </w:p>
          <w:p>
            <w:pPr>
              <w:pStyle w:val="6"/>
              <w:spacing w:before="223" w:line="228" w:lineRule="auto"/>
              <w:ind w:left="117"/>
            </w:pPr>
            <w:r>
              <w:rPr>
                <w:spacing w:val="2"/>
              </w:rPr>
              <w:t>一致。</w:t>
            </w:r>
          </w:p>
          <w:p>
            <w:pPr>
              <w:pStyle w:val="6"/>
              <w:spacing w:before="161" w:line="273" w:lineRule="auto"/>
              <w:ind w:left="117" w:right="397" w:firstLine="215"/>
            </w:pPr>
            <w:r>
              <w:rPr>
                <w:b/>
                <w:bCs/>
                <w:spacing w:val="10"/>
              </w:rPr>
              <w:t>（</w:t>
            </w:r>
            <w:r>
              <w:rPr>
                <w:rFonts w:ascii="Times New Roman" w:hAnsi="Times New Roman" w:eastAsia="Times New Roman" w:cs="Times New Roman"/>
                <w:b/>
                <w:bCs/>
                <w:spacing w:val="10"/>
              </w:rPr>
              <w:t>7</w:t>
            </w:r>
            <w:r>
              <w:rPr>
                <w:b/>
                <w:bCs/>
                <w:spacing w:val="10"/>
              </w:rPr>
              <w:t>）工程量清单中投标单价小数点后保留两位，合价、总价精确至个位（四舍</w:t>
            </w:r>
            <w:r>
              <w:rPr>
                <w:spacing w:val="10"/>
              </w:rPr>
              <w:t xml:space="preserve"> </w:t>
            </w:r>
            <w:r>
              <w:rPr>
                <w:b/>
                <w:bCs/>
                <w:spacing w:val="-1"/>
              </w:rPr>
              <w:t>五入）。（数字后出现的“</w:t>
            </w:r>
            <w:r>
              <w:rPr>
                <w:rFonts w:ascii="Times New Roman" w:hAnsi="Times New Roman" w:eastAsia="Times New Roman" w:cs="Times New Roman"/>
                <w:b/>
                <w:bCs/>
                <w:spacing w:val="-1"/>
              </w:rPr>
              <w:t>.00</w:t>
            </w:r>
            <w:r>
              <w:rPr>
                <w:rFonts w:ascii="Times New Roman" w:hAnsi="Times New Roman" w:eastAsia="Times New Roman" w:cs="Times New Roman"/>
                <w:b/>
                <w:bCs/>
                <w:spacing w:val="-20"/>
              </w:rPr>
              <w:t xml:space="preserve"> </w:t>
            </w:r>
            <w:r>
              <w:rPr>
                <w:b/>
                <w:bCs/>
                <w:spacing w:val="-1"/>
              </w:rPr>
              <w:t>”视为符合精确至个位的要求）</w:t>
            </w:r>
          </w:p>
          <w:p>
            <w:pPr>
              <w:pStyle w:val="6"/>
              <w:spacing w:before="92" w:line="417" w:lineRule="auto"/>
              <w:ind w:left="114" w:right="109" w:firstLine="429"/>
            </w:pPr>
            <w:r>
              <w:rPr>
                <w:spacing w:val="9"/>
              </w:rPr>
              <w:t>（</w:t>
            </w:r>
            <w:r>
              <w:rPr>
                <w:rFonts w:ascii="Times New Roman" w:hAnsi="Times New Roman" w:eastAsia="Times New Roman" w:cs="Times New Roman"/>
                <w:spacing w:val="9"/>
              </w:rPr>
              <w:t>8</w:t>
            </w:r>
            <w:r>
              <w:rPr>
                <w:spacing w:val="9"/>
              </w:rPr>
              <w:t>）未发现投标人与其他投标人存在使用同</w:t>
            </w:r>
            <w:r>
              <w:rPr>
                <w:spacing w:val="8"/>
              </w:rPr>
              <w:t>一不可篡改的唯一标识软硬件设备投</w:t>
            </w:r>
            <w:r>
              <w:t xml:space="preserve"> </w:t>
            </w:r>
            <w:r>
              <w:rPr>
                <w:spacing w:val="7"/>
              </w:rPr>
              <w:t>标的（如：</w:t>
            </w:r>
            <w:r>
              <w:rPr>
                <w:rFonts w:ascii="Times New Roman" w:hAnsi="Times New Roman" w:eastAsia="Times New Roman" w:cs="Times New Roman"/>
              </w:rPr>
              <w:t>MAC</w:t>
            </w:r>
            <w:r>
              <w:rPr>
                <w:rFonts w:ascii="Times New Roman" w:hAnsi="Times New Roman" w:eastAsia="Times New Roman" w:cs="Times New Roman"/>
                <w:spacing w:val="7"/>
              </w:rPr>
              <w:t xml:space="preserve"> </w:t>
            </w:r>
            <w:r>
              <w:rPr>
                <w:spacing w:val="7"/>
              </w:rPr>
              <w:t>地址、标书制作特征码、标书唯一特征码</w:t>
            </w:r>
            <w:r>
              <w:rPr>
                <w:spacing w:val="6"/>
              </w:rPr>
              <w:t>等）。</w:t>
            </w:r>
          </w:p>
          <w:p>
            <w:pPr>
              <w:pStyle w:val="6"/>
              <w:spacing w:before="33" w:line="227" w:lineRule="auto"/>
              <w:ind w:left="536"/>
            </w:pPr>
            <w:r>
              <w:rPr>
                <w:b/>
                <w:bCs/>
                <w:spacing w:val="8"/>
              </w:rPr>
              <w:t>投标文件未满足以上任一条件的，其投标视为无效，评标委员会将否决其投标。</w:t>
            </w:r>
          </w:p>
        </w:tc>
      </w:tr>
    </w:tbl>
    <w:p>
      <w:pPr>
        <w:rPr>
          <w:rFonts w:ascii="Arial"/>
          <w:sz w:val="21"/>
        </w:rPr>
      </w:pPr>
    </w:p>
    <w:p>
      <w:pPr>
        <w:rPr>
          <w:rFonts w:ascii="Arial" w:hAnsi="Arial" w:eastAsia="Arial" w:cs="Arial"/>
          <w:sz w:val="21"/>
          <w:szCs w:val="21"/>
        </w:rPr>
        <w:sectPr>
          <w:pgSz w:w="11906" w:h="16839"/>
          <w:pgMar w:top="1183" w:right="751" w:bottom="0" w:left="751" w:header="866" w:footer="0" w:gutter="0"/>
          <w:cols w:space="720" w:num="1"/>
        </w:sectPr>
      </w:pPr>
    </w:p>
    <w:p>
      <w:pPr>
        <w:spacing w:before="15"/>
      </w:pPr>
    </w:p>
    <w:tbl>
      <w:tblPr>
        <w:tblStyle w:val="5"/>
        <w:tblW w:w="103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6"/>
        <w:gridCol w:w="1464"/>
        <w:gridCol w:w="80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9" w:hRule="atLeast"/>
        </w:trPr>
        <w:tc>
          <w:tcPr>
            <w:tcW w:w="86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5" w:line="190" w:lineRule="auto"/>
              <w:ind w:left="178"/>
            </w:pPr>
            <w:r>
              <w:rPr>
                <w:spacing w:val="2"/>
              </w:rPr>
              <w:t>2.1.2</w:t>
            </w:r>
          </w:p>
        </w:tc>
        <w:tc>
          <w:tcPr>
            <w:tcW w:w="146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5" w:line="228" w:lineRule="auto"/>
              <w:ind w:left="324"/>
            </w:pPr>
            <w:r>
              <w:rPr>
                <w:spacing w:val="5"/>
              </w:rPr>
              <w:t>资格评审</w:t>
            </w:r>
          </w:p>
          <w:p>
            <w:pPr>
              <w:spacing w:line="394" w:lineRule="auto"/>
              <w:rPr>
                <w:rFonts w:ascii="Arial"/>
                <w:sz w:val="21"/>
              </w:rPr>
            </w:pPr>
          </w:p>
          <w:p>
            <w:pPr>
              <w:pStyle w:val="6"/>
              <w:spacing w:before="65" w:line="228" w:lineRule="auto"/>
              <w:ind w:left="527"/>
            </w:pPr>
            <w:r>
              <w:rPr>
                <w:spacing w:val="4"/>
              </w:rPr>
              <w:t>标准</w:t>
            </w:r>
          </w:p>
        </w:tc>
        <w:tc>
          <w:tcPr>
            <w:tcW w:w="8068" w:type="dxa"/>
            <w:vAlign w:val="top"/>
          </w:tcPr>
          <w:p>
            <w:pPr>
              <w:pStyle w:val="6"/>
              <w:spacing w:before="226" w:line="228" w:lineRule="auto"/>
              <w:ind w:left="227"/>
            </w:pPr>
            <w:r>
              <w:rPr>
                <w:spacing w:val="8"/>
              </w:rPr>
              <w:t>（1）投标人具备有效的营业执照、安全生产许可证。</w:t>
            </w:r>
          </w:p>
          <w:p>
            <w:pPr>
              <w:pStyle w:val="6"/>
              <w:spacing w:before="151" w:line="228" w:lineRule="auto"/>
              <w:ind w:left="263"/>
            </w:pPr>
            <w:r>
              <w:rPr>
                <w:spacing w:val="8"/>
              </w:rPr>
              <w:t>（2）投标人的资质等级符合招标文件规定；</w:t>
            </w:r>
          </w:p>
          <w:p>
            <w:pPr>
              <w:pStyle w:val="6"/>
              <w:spacing w:before="153" w:line="228" w:lineRule="auto"/>
              <w:ind w:left="263"/>
            </w:pPr>
            <w:r>
              <w:rPr>
                <w:spacing w:val="8"/>
              </w:rPr>
              <w:t>（3）投标人的财务状况符合招标文件规定；</w:t>
            </w:r>
          </w:p>
          <w:p>
            <w:pPr>
              <w:pStyle w:val="6"/>
              <w:spacing w:before="153" w:line="228" w:lineRule="auto"/>
              <w:ind w:left="263"/>
            </w:pPr>
            <w:r>
              <w:rPr>
                <w:spacing w:val="8"/>
              </w:rPr>
              <w:t>（4）投标人的类似项目业绩符合招标文件规定；</w:t>
            </w:r>
          </w:p>
          <w:p>
            <w:pPr>
              <w:pStyle w:val="6"/>
              <w:spacing w:before="152" w:line="227" w:lineRule="auto"/>
              <w:ind w:left="263"/>
            </w:pPr>
            <w:r>
              <w:rPr>
                <w:spacing w:val="8"/>
              </w:rPr>
              <w:t>（5）投标人的信誉符合招标文件规定；</w:t>
            </w:r>
          </w:p>
          <w:p>
            <w:pPr>
              <w:pStyle w:val="6"/>
              <w:spacing w:before="154" w:line="228" w:lineRule="auto"/>
              <w:ind w:left="263"/>
            </w:pPr>
            <w:r>
              <w:rPr>
                <w:spacing w:val="9"/>
              </w:rPr>
              <w:t>（6）投标人的项目经理和项目总工资格、在岗情况符合招标文件规</w:t>
            </w:r>
            <w:r>
              <w:rPr>
                <w:spacing w:val="8"/>
              </w:rPr>
              <w:t>定；</w:t>
            </w:r>
          </w:p>
          <w:p>
            <w:pPr>
              <w:pStyle w:val="6"/>
              <w:spacing w:before="154" w:line="228" w:lineRule="auto"/>
              <w:ind w:left="263"/>
            </w:pPr>
            <w:r>
              <w:rPr>
                <w:spacing w:val="8"/>
              </w:rPr>
              <w:t>（7）投标人的其他要求符合招标文件规定。</w:t>
            </w:r>
          </w:p>
          <w:p>
            <w:pPr>
              <w:pStyle w:val="6"/>
              <w:spacing w:before="152" w:line="299" w:lineRule="auto"/>
              <w:ind w:left="113" w:right="109" w:firstLine="149"/>
            </w:pPr>
            <w:r>
              <w:rPr>
                <w:spacing w:val="5"/>
              </w:rPr>
              <w:t>（8）投标人不存在第二章“投标人须知</w:t>
            </w:r>
            <w:r>
              <w:rPr>
                <w:spacing w:val="-70"/>
              </w:rPr>
              <w:t xml:space="preserve"> </w:t>
            </w:r>
            <w:r>
              <w:rPr>
                <w:spacing w:val="5"/>
              </w:rPr>
              <w:t>”第</w:t>
            </w:r>
            <w:r>
              <w:rPr>
                <w:spacing w:val="29"/>
              </w:rPr>
              <w:t xml:space="preserve"> </w:t>
            </w:r>
            <w:r>
              <w:rPr>
                <w:spacing w:val="5"/>
              </w:rPr>
              <w:t>1.4.3 项或第</w:t>
            </w:r>
            <w:r>
              <w:rPr>
                <w:spacing w:val="29"/>
              </w:rPr>
              <w:t xml:space="preserve"> </w:t>
            </w:r>
            <w:r>
              <w:rPr>
                <w:spacing w:val="4"/>
              </w:rPr>
              <w:t>1.4.4 项规 定的任何一</w:t>
            </w:r>
            <w:r>
              <w:t xml:space="preserve"> </w:t>
            </w:r>
            <w:r>
              <w:rPr>
                <w:spacing w:val="5"/>
              </w:rPr>
              <w:t>种情形。</w:t>
            </w:r>
          </w:p>
          <w:p>
            <w:pPr>
              <w:pStyle w:val="6"/>
              <w:spacing w:before="154" w:line="227" w:lineRule="auto"/>
              <w:ind w:left="263"/>
            </w:pPr>
            <w:r>
              <w:rPr>
                <w:spacing w:val="7"/>
              </w:rPr>
              <w:t>（9）投标人符合第二章“投标人须知</w:t>
            </w:r>
            <w:r>
              <w:rPr>
                <w:spacing w:val="-73"/>
              </w:rPr>
              <w:t xml:space="preserve"> </w:t>
            </w:r>
            <w:r>
              <w:rPr>
                <w:spacing w:val="7"/>
              </w:rPr>
              <w:t>”第 1.</w:t>
            </w:r>
            <w:r>
              <w:rPr>
                <w:spacing w:val="6"/>
              </w:rPr>
              <w:t>4.5 项规定。</w:t>
            </w:r>
          </w:p>
          <w:p>
            <w:pPr>
              <w:pStyle w:val="6"/>
              <w:spacing w:before="152" w:line="228" w:lineRule="auto"/>
              <w:ind w:left="263"/>
            </w:pPr>
            <w:r>
              <w:rPr>
                <w:spacing w:val="8"/>
              </w:rPr>
              <w:t>（10）以联合体形式参与投标的，联合体各方均未</w:t>
            </w:r>
            <w:r>
              <w:rPr>
                <w:spacing w:val="7"/>
              </w:rPr>
              <w:t>再以自己名义单独或参加其他联合</w:t>
            </w:r>
          </w:p>
          <w:p>
            <w:pPr>
              <w:pStyle w:val="6"/>
              <w:spacing w:before="154" w:line="228" w:lineRule="auto"/>
              <w:ind w:right="12"/>
              <w:jc w:val="right"/>
            </w:pPr>
            <w:r>
              <w:rPr>
                <w:spacing w:val="9"/>
              </w:rPr>
              <w:t>体在同一标段中投标；独立参与投标的，投标人未同时参加联合体在同</w:t>
            </w:r>
            <w:r>
              <w:rPr>
                <w:spacing w:val="8"/>
              </w:rPr>
              <w:t>一标段中投标。</w:t>
            </w:r>
          </w:p>
          <w:p>
            <w:pPr>
              <w:pStyle w:val="6"/>
              <w:spacing w:before="43" w:line="227" w:lineRule="auto"/>
              <w:ind w:left="536"/>
            </w:pPr>
            <w:r>
              <w:rPr>
                <w:b/>
                <w:bCs/>
                <w:spacing w:val="8"/>
              </w:rPr>
              <w:t>投标文件未满足以上任一条件的，其投标视为无效，评标委员会将否决其投标。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866" w:type="dxa"/>
            <w:vAlign w:val="top"/>
          </w:tcPr>
          <w:p>
            <w:pPr>
              <w:spacing w:line="309" w:lineRule="auto"/>
              <w:rPr>
                <w:rFonts w:ascii="Arial"/>
                <w:sz w:val="21"/>
              </w:rPr>
            </w:pPr>
          </w:p>
          <w:p>
            <w:pPr>
              <w:pStyle w:val="6"/>
              <w:spacing w:before="65" w:line="228" w:lineRule="auto"/>
              <w:ind w:left="124"/>
            </w:pPr>
            <w:r>
              <w:rPr>
                <w:b/>
                <w:bCs/>
                <w:spacing w:val="5"/>
              </w:rPr>
              <w:t>条款号</w:t>
            </w:r>
          </w:p>
        </w:tc>
        <w:tc>
          <w:tcPr>
            <w:tcW w:w="1464" w:type="dxa"/>
            <w:vAlign w:val="top"/>
          </w:tcPr>
          <w:p>
            <w:pPr>
              <w:rPr>
                <w:rFonts w:ascii="Arial"/>
                <w:sz w:val="21"/>
              </w:rPr>
            </w:pPr>
          </w:p>
          <w:p>
            <w:pPr>
              <w:pStyle w:val="6"/>
              <w:spacing w:before="65" w:line="228" w:lineRule="auto"/>
              <w:ind w:left="317"/>
            </w:pPr>
            <w:r>
              <w:rPr>
                <w:b/>
                <w:bCs/>
                <w:spacing w:val="6"/>
              </w:rPr>
              <w:t>条款内容</w:t>
            </w:r>
          </w:p>
        </w:tc>
        <w:tc>
          <w:tcPr>
            <w:tcW w:w="8068" w:type="dxa"/>
            <w:vAlign w:val="top"/>
          </w:tcPr>
          <w:p>
            <w:pPr>
              <w:rPr>
                <w:rFonts w:ascii="Arial"/>
                <w:sz w:val="21"/>
              </w:rPr>
            </w:pPr>
          </w:p>
          <w:p>
            <w:pPr>
              <w:pStyle w:val="6"/>
              <w:spacing w:before="65" w:line="228" w:lineRule="auto"/>
              <w:ind w:left="3619"/>
            </w:pPr>
            <w:r>
              <w:rPr>
                <w:b/>
                <w:bCs/>
                <w:spacing w:val="6"/>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8" w:hRule="atLeast"/>
        </w:trPr>
        <w:tc>
          <w:tcPr>
            <w:tcW w:w="866"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5" w:line="190" w:lineRule="auto"/>
              <w:ind w:left="176"/>
            </w:pPr>
            <w:r>
              <w:rPr>
                <w:b/>
                <w:bCs/>
                <w:spacing w:val="1"/>
              </w:rPr>
              <w:t>2.2.1</w:t>
            </w:r>
          </w:p>
        </w:tc>
        <w:tc>
          <w:tcPr>
            <w:tcW w:w="1464" w:type="dxa"/>
            <w:vAlign w:val="top"/>
          </w:tcPr>
          <w:p>
            <w:pPr>
              <w:spacing w:line="290" w:lineRule="auto"/>
              <w:rPr>
                <w:rFonts w:ascii="Arial"/>
                <w:sz w:val="21"/>
              </w:rPr>
            </w:pPr>
          </w:p>
          <w:p>
            <w:pPr>
              <w:pStyle w:val="6"/>
              <w:spacing w:before="65" w:line="368" w:lineRule="auto"/>
              <w:ind w:left="148" w:right="108" w:firstLine="61"/>
              <w:jc w:val="both"/>
            </w:pPr>
            <w:r>
              <w:rPr>
                <w:b/>
                <w:bCs/>
                <w:spacing w:val="6"/>
              </w:rPr>
              <w:t>第一信封评</w:t>
            </w:r>
            <w:r>
              <w:t xml:space="preserve">  </w:t>
            </w:r>
            <w:r>
              <w:rPr>
                <w:b/>
                <w:bCs/>
                <w:spacing w:val="18"/>
              </w:rPr>
              <w:t>分分值构成</w:t>
            </w:r>
            <w:r>
              <w:rPr>
                <w:spacing w:val="1"/>
              </w:rPr>
              <w:t xml:space="preserve">  </w:t>
            </w:r>
            <w:r>
              <w:rPr>
                <w:b/>
                <w:bCs/>
                <w:spacing w:val="-5"/>
              </w:rPr>
              <w:t>(总分</w:t>
            </w:r>
            <w:r>
              <w:rPr>
                <w:spacing w:val="-31"/>
              </w:rPr>
              <w:t xml:space="preserve"> </w:t>
            </w:r>
            <w:r>
              <w:rPr>
                <w:b/>
                <w:bCs/>
                <w:spacing w:val="-5"/>
              </w:rPr>
              <w:t>100</w:t>
            </w:r>
            <w:r>
              <w:rPr>
                <w:spacing w:val="-45"/>
              </w:rPr>
              <w:t xml:space="preserve"> </w:t>
            </w:r>
            <w:r>
              <w:rPr>
                <w:b/>
                <w:bCs/>
                <w:spacing w:val="-5"/>
              </w:rPr>
              <w:t>分)</w:t>
            </w:r>
          </w:p>
        </w:tc>
        <w:tc>
          <w:tcPr>
            <w:tcW w:w="8068" w:type="dxa"/>
            <w:vAlign w:val="top"/>
          </w:tcPr>
          <w:p>
            <w:pPr>
              <w:pStyle w:val="6"/>
              <w:spacing w:before="279" w:line="228" w:lineRule="auto"/>
              <w:ind w:left="533"/>
            </w:pPr>
            <w:r>
              <w:rPr>
                <w:b/>
                <w:bCs/>
                <w:spacing w:val="4"/>
              </w:rPr>
              <w:t>施工组织设计：</w:t>
            </w:r>
            <w:r>
              <w:rPr>
                <w:rFonts w:ascii="Times New Roman" w:hAnsi="Times New Roman" w:eastAsia="Times New Roman" w:cs="Times New Roman"/>
                <w:b/>
                <w:bCs/>
                <w:spacing w:val="4"/>
                <w:u w:val="single" w:color="auto"/>
              </w:rPr>
              <w:t xml:space="preserve">      40      </w:t>
            </w:r>
            <w:r>
              <w:rPr>
                <w:rFonts w:ascii="Times New Roman" w:hAnsi="Times New Roman" w:eastAsia="Times New Roman" w:cs="Times New Roman"/>
                <w:b/>
                <w:bCs/>
                <w:spacing w:val="-39"/>
              </w:rPr>
              <w:t xml:space="preserve"> </w:t>
            </w:r>
            <w:r>
              <w:rPr>
                <w:b/>
                <w:bCs/>
                <w:spacing w:val="4"/>
              </w:rPr>
              <w:t>分</w:t>
            </w:r>
          </w:p>
          <w:p>
            <w:pPr>
              <w:pStyle w:val="6"/>
              <w:spacing w:before="113" w:line="228" w:lineRule="auto"/>
              <w:ind w:left="535"/>
            </w:pPr>
            <w:r>
              <w:rPr>
                <w:b/>
                <w:bCs/>
                <w:spacing w:val="3"/>
              </w:rPr>
              <w:t>主要人员：</w:t>
            </w:r>
            <w:r>
              <w:rPr>
                <w:rFonts w:ascii="Times New Roman" w:hAnsi="Times New Roman" w:eastAsia="Times New Roman" w:cs="Times New Roman"/>
                <w:b/>
                <w:bCs/>
                <w:spacing w:val="3"/>
                <w:u w:val="single" w:color="auto"/>
              </w:rPr>
              <w:t xml:space="preserve">    25        </w:t>
            </w:r>
            <w:r>
              <w:rPr>
                <w:rFonts w:ascii="Times New Roman" w:hAnsi="Times New Roman" w:eastAsia="Times New Roman" w:cs="Times New Roman"/>
                <w:b/>
                <w:bCs/>
                <w:spacing w:val="-30"/>
              </w:rPr>
              <w:t xml:space="preserve"> </w:t>
            </w:r>
            <w:r>
              <w:rPr>
                <w:b/>
                <w:bCs/>
                <w:spacing w:val="3"/>
              </w:rPr>
              <w:t>分</w:t>
            </w:r>
          </w:p>
          <w:p>
            <w:pPr>
              <w:pStyle w:val="6"/>
              <w:spacing w:before="112" w:line="228" w:lineRule="auto"/>
              <w:ind w:left="534"/>
            </w:pPr>
            <w:r>
              <w:rPr>
                <w:b/>
                <w:bCs/>
                <w:spacing w:val="2"/>
              </w:rPr>
              <w:t>技术能力：</w:t>
            </w:r>
            <w:r>
              <w:rPr>
                <w:rFonts w:ascii="Times New Roman" w:hAnsi="Times New Roman" w:eastAsia="Times New Roman" w:cs="Times New Roman"/>
                <w:b/>
                <w:bCs/>
                <w:spacing w:val="5"/>
                <w:u w:val="single" w:color="auto"/>
              </w:rPr>
              <w:t xml:space="preserve">        </w:t>
            </w:r>
            <w:r>
              <w:rPr>
                <w:rFonts w:ascii="Times New Roman" w:hAnsi="Times New Roman" w:eastAsia="Times New Roman" w:cs="Times New Roman"/>
                <w:b/>
                <w:bCs/>
                <w:spacing w:val="2"/>
                <w:u w:val="single" w:color="auto"/>
              </w:rPr>
              <w:t xml:space="preserve">15      </w:t>
            </w:r>
            <w:r>
              <w:rPr>
                <w:rFonts w:ascii="Times New Roman" w:hAnsi="Times New Roman" w:eastAsia="Times New Roman" w:cs="Times New Roman"/>
                <w:b/>
                <w:bCs/>
                <w:spacing w:val="-34"/>
              </w:rPr>
              <w:t xml:space="preserve"> </w:t>
            </w:r>
            <w:r>
              <w:rPr>
                <w:b/>
                <w:bCs/>
                <w:spacing w:val="2"/>
              </w:rPr>
              <w:t>分</w:t>
            </w:r>
          </w:p>
          <w:p>
            <w:pPr>
              <w:pStyle w:val="6"/>
              <w:spacing w:before="113" w:line="227" w:lineRule="auto"/>
              <w:ind w:left="537"/>
            </w:pPr>
            <w:r>
              <w:rPr>
                <w:b/>
                <w:bCs/>
                <w:spacing w:val="3"/>
              </w:rPr>
              <w:t>履约信誉：</w:t>
            </w:r>
            <w:r>
              <w:rPr>
                <w:rFonts w:ascii="Times New Roman" w:hAnsi="Times New Roman" w:eastAsia="Times New Roman" w:cs="Times New Roman"/>
                <w:b/>
                <w:bCs/>
                <w:spacing w:val="3"/>
                <w:u w:val="single" w:color="auto"/>
              </w:rPr>
              <w:t xml:space="preserve">      20      </w:t>
            </w:r>
            <w:r>
              <w:rPr>
                <w:rFonts w:ascii="Times New Roman" w:hAnsi="Times New Roman" w:eastAsia="Times New Roman" w:cs="Times New Roman"/>
                <w:b/>
                <w:bCs/>
                <w:spacing w:val="-31"/>
              </w:rPr>
              <w:t xml:space="preserve"> </w:t>
            </w:r>
            <w:r>
              <w:rPr>
                <w:b/>
                <w:bCs/>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95" w:hRule="atLeast"/>
        </w:trPr>
        <w:tc>
          <w:tcPr>
            <w:tcW w:w="866" w:type="dxa"/>
            <w:vAlign w:val="top"/>
          </w:tcPr>
          <w:p>
            <w:pPr>
              <w:spacing w:line="353" w:lineRule="auto"/>
              <w:rPr>
                <w:rFonts w:ascii="Arial"/>
                <w:sz w:val="21"/>
              </w:rPr>
            </w:pPr>
          </w:p>
          <w:p>
            <w:pPr>
              <w:spacing w:line="354" w:lineRule="auto"/>
              <w:rPr>
                <w:rFonts w:ascii="Arial"/>
                <w:sz w:val="21"/>
              </w:rPr>
            </w:pPr>
          </w:p>
          <w:p>
            <w:pPr>
              <w:pStyle w:val="6"/>
              <w:spacing w:before="65" w:line="189" w:lineRule="auto"/>
              <w:ind w:left="176"/>
            </w:pPr>
            <w:r>
              <w:rPr>
                <w:spacing w:val="2"/>
              </w:rPr>
              <w:t>2.2.3</w:t>
            </w:r>
          </w:p>
        </w:tc>
        <w:tc>
          <w:tcPr>
            <w:tcW w:w="1464" w:type="dxa"/>
            <w:vAlign w:val="top"/>
          </w:tcPr>
          <w:p>
            <w:pPr>
              <w:spacing w:line="304" w:lineRule="auto"/>
              <w:rPr>
                <w:rFonts w:ascii="Arial"/>
                <w:sz w:val="21"/>
              </w:rPr>
            </w:pPr>
          </w:p>
          <w:p>
            <w:pPr>
              <w:pStyle w:val="6"/>
              <w:spacing w:before="65" w:line="228" w:lineRule="auto"/>
              <w:ind w:left="209"/>
            </w:pPr>
            <w:r>
              <w:rPr>
                <w:spacing w:val="8"/>
              </w:rPr>
              <w:t>第二个信封</w:t>
            </w:r>
          </w:p>
          <w:p>
            <w:pPr>
              <w:pStyle w:val="6"/>
              <w:spacing w:before="221" w:line="228" w:lineRule="auto"/>
              <w:ind w:left="212"/>
            </w:pPr>
            <w:r>
              <w:rPr>
                <w:spacing w:val="7"/>
              </w:rPr>
              <w:t>详细评审标</w:t>
            </w:r>
          </w:p>
          <w:p>
            <w:pPr>
              <w:pStyle w:val="6"/>
              <w:spacing w:before="220" w:line="229" w:lineRule="auto"/>
              <w:ind w:left="631"/>
            </w:pPr>
            <w:r>
              <w:t>准</w:t>
            </w:r>
          </w:p>
        </w:tc>
        <w:tc>
          <w:tcPr>
            <w:tcW w:w="8068" w:type="dxa"/>
            <w:vAlign w:val="top"/>
          </w:tcPr>
          <w:p>
            <w:pPr>
              <w:spacing w:line="333" w:lineRule="auto"/>
              <w:rPr>
                <w:rFonts w:ascii="Arial"/>
                <w:sz w:val="21"/>
              </w:rPr>
            </w:pPr>
          </w:p>
          <w:p>
            <w:pPr>
              <w:spacing w:line="334" w:lineRule="auto"/>
              <w:rPr>
                <w:rFonts w:ascii="Arial"/>
                <w:sz w:val="21"/>
              </w:rPr>
            </w:pPr>
          </w:p>
          <w:p>
            <w:pPr>
              <w:pStyle w:val="6"/>
              <w:spacing w:before="65" w:line="226" w:lineRule="auto"/>
              <w:ind w:left="321"/>
            </w:pPr>
            <w:r>
              <w:rPr>
                <w:spacing w:val="9"/>
              </w:rPr>
              <w:t>评标价=修正后的投标报价-暂估价-暂列金额（不</w:t>
            </w:r>
            <w:r>
              <w:rPr>
                <w:spacing w:val="8"/>
              </w:rPr>
              <w:t>含计日工总额）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0" w:hRule="atLeast"/>
        </w:trPr>
        <w:tc>
          <w:tcPr>
            <w:tcW w:w="866"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65" w:line="189" w:lineRule="auto"/>
              <w:ind w:left="177"/>
            </w:pPr>
            <w:r>
              <w:rPr>
                <w:spacing w:val="2"/>
              </w:rPr>
              <w:t>3.2.4</w:t>
            </w:r>
          </w:p>
        </w:tc>
        <w:tc>
          <w:tcPr>
            <w:tcW w:w="1464"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5" w:line="228" w:lineRule="auto"/>
              <w:ind w:left="209"/>
            </w:pPr>
            <w:r>
              <w:rPr>
                <w:spacing w:val="8"/>
              </w:rPr>
              <w:t>通过第一个</w:t>
            </w:r>
          </w:p>
          <w:p>
            <w:pPr>
              <w:pStyle w:val="6"/>
              <w:spacing w:before="221" w:line="228" w:lineRule="auto"/>
              <w:ind w:left="209"/>
            </w:pPr>
            <w:r>
              <w:rPr>
                <w:spacing w:val="8"/>
              </w:rPr>
              <w:t>信封详细评</w:t>
            </w:r>
          </w:p>
          <w:p>
            <w:pPr>
              <w:pStyle w:val="6"/>
              <w:spacing w:before="221" w:line="228" w:lineRule="auto"/>
              <w:ind w:left="220"/>
            </w:pPr>
            <w:r>
              <w:rPr>
                <w:spacing w:val="6"/>
              </w:rPr>
              <w:t>审的投标人</w:t>
            </w:r>
          </w:p>
          <w:p>
            <w:pPr>
              <w:pStyle w:val="6"/>
              <w:spacing w:before="220" w:line="228" w:lineRule="auto"/>
              <w:ind w:left="438"/>
            </w:pPr>
            <w:r>
              <w:rPr>
                <w:spacing w:val="1"/>
              </w:rPr>
              <w:t>的数量</w:t>
            </w:r>
          </w:p>
        </w:tc>
        <w:tc>
          <w:tcPr>
            <w:tcW w:w="8068"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368" w:lineRule="auto"/>
              <w:ind w:left="112" w:right="54" w:firstLine="212"/>
              <w:jc w:val="both"/>
            </w:pPr>
            <w:r>
              <w:rPr>
                <w:spacing w:val="6"/>
              </w:rPr>
              <w:t>按照商务和技术评分由高到低排序，对排名在</w:t>
            </w:r>
            <w:r>
              <w:rPr>
                <w:spacing w:val="-25"/>
              </w:rPr>
              <w:t xml:space="preserve"> </w:t>
            </w:r>
            <w:r>
              <w:rPr>
                <w:spacing w:val="6"/>
              </w:rPr>
              <w:t>n</w:t>
            </w:r>
            <w:r>
              <w:rPr>
                <w:spacing w:val="-14"/>
              </w:rPr>
              <w:t xml:space="preserve"> </w:t>
            </w:r>
            <w:r>
              <w:rPr>
                <w:spacing w:val="6"/>
              </w:rPr>
              <w:t>以内的投标人的报价文件进行评审，</w:t>
            </w:r>
            <w:r>
              <w:t xml:space="preserve"> </w:t>
            </w:r>
            <w:r>
              <w:rPr>
                <w:spacing w:val="6"/>
              </w:rPr>
              <w:t>n</w:t>
            </w:r>
            <w:r>
              <w:rPr>
                <w:spacing w:val="-40"/>
              </w:rPr>
              <w:t xml:space="preserve"> </w:t>
            </w:r>
            <w:r>
              <w:rPr>
                <w:spacing w:val="6"/>
              </w:rPr>
              <w:t>值为参与商务和技术评分投标人数量的</w:t>
            </w:r>
            <w:r>
              <w:rPr>
                <w:spacing w:val="-32"/>
              </w:rPr>
              <w:t xml:space="preserve"> </w:t>
            </w:r>
            <w:r>
              <w:rPr>
                <w:spacing w:val="6"/>
              </w:rPr>
              <w:t>30%（数值向下取整）确定，n</w:t>
            </w:r>
            <w:r>
              <w:rPr>
                <w:spacing w:val="-38"/>
              </w:rPr>
              <w:t xml:space="preserve"> </w:t>
            </w:r>
            <w:r>
              <w:rPr>
                <w:spacing w:val="6"/>
              </w:rPr>
              <w:t>值不得少于</w:t>
            </w:r>
            <w:r>
              <w:rPr>
                <w:spacing w:val="-35"/>
              </w:rPr>
              <w:t xml:space="preserve"> </w:t>
            </w:r>
            <w:r>
              <w:rPr>
                <w:spacing w:val="6"/>
              </w:rPr>
              <w:t>3，</w:t>
            </w:r>
            <w:r>
              <w:t xml:space="preserve"> </w:t>
            </w:r>
            <w:r>
              <w:rPr>
                <w:spacing w:val="2"/>
              </w:rPr>
              <w:t>不得大于</w:t>
            </w:r>
            <w:r>
              <w:rPr>
                <w:spacing w:val="-21"/>
              </w:rPr>
              <w:t xml:space="preserve"> </w:t>
            </w:r>
            <w:r>
              <w:rPr>
                <w:spacing w:val="2"/>
              </w:rPr>
              <w:t>10。</w:t>
            </w:r>
          </w:p>
        </w:tc>
      </w:tr>
    </w:tbl>
    <w:p>
      <w:pPr>
        <w:rPr>
          <w:rFonts w:ascii="Arial"/>
          <w:sz w:val="21"/>
        </w:rPr>
      </w:pPr>
    </w:p>
    <w:p>
      <w:pPr>
        <w:rPr>
          <w:rFonts w:ascii="Arial" w:hAnsi="Arial" w:eastAsia="Arial" w:cs="Arial"/>
          <w:sz w:val="21"/>
          <w:szCs w:val="21"/>
        </w:rPr>
        <w:sectPr>
          <w:pgSz w:w="11906" w:h="16839"/>
          <w:pgMar w:top="1183" w:right="751" w:bottom="0" w:left="751" w:header="866" w:footer="0" w:gutter="0"/>
          <w:cols w:space="720" w:num="1"/>
        </w:sectPr>
      </w:pPr>
    </w:p>
    <w:p>
      <w:pPr>
        <w:spacing w:before="15"/>
      </w:pPr>
    </w:p>
    <w:tbl>
      <w:tblPr>
        <w:tblStyle w:val="5"/>
        <w:tblW w:w="101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9"/>
        <w:gridCol w:w="1327"/>
        <w:gridCol w:w="1962"/>
        <w:gridCol w:w="4424"/>
        <w:gridCol w:w="13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119" w:type="dxa"/>
            <w:vAlign w:val="top"/>
          </w:tcPr>
          <w:p>
            <w:pPr>
              <w:pStyle w:val="6"/>
              <w:spacing w:before="250" w:line="228" w:lineRule="auto"/>
              <w:ind w:left="116"/>
            </w:pPr>
            <w:r>
              <w:rPr>
                <w:spacing w:val="6"/>
              </w:rPr>
              <w:t>条款号</w:t>
            </w:r>
          </w:p>
        </w:tc>
        <w:tc>
          <w:tcPr>
            <w:tcW w:w="1327" w:type="dxa"/>
            <w:vAlign w:val="top"/>
          </w:tcPr>
          <w:p>
            <w:pPr>
              <w:pStyle w:val="6"/>
              <w:spacing w:before="250" w:line="228" w:lineRule="auto"/>
              <w:ind w:left="248"/>
            </w:pPr>
            <w:r>
              <w:rPr>
                <w:spacing w:val="7"/>
              </w:rPr>
              <w:t>评分因素</w:t>
            </w:r>
          </w:p>
        </w:tc>
        <w:tc>
          <w:tcPr>
            <w:tcW w:w="1962" w:type="dxa"/>
            <w:vAlign w:val="top"/>
          </w:tcPr>
          <w:p>
            <w:pPr>
              <w:pStyle w:val="6"/>
              <w:spacing w:before="95" w:line="273" w:lineRule="auto"/>
              <w:ind w:left="565" w:right="561"/>
            </w:pPr>
            <w:r>
              <w:rPr>
                <w:spacing w:val="7"/>
              </w:rPr>
              <w:t>评分因素</w:t>
            </w:r>
            <w:r>
              <w:rPr>
                <w:spacing w:val="1"/>
              </w:rPr>
              <w:t xml:space="preserve"> </w:t>
            </w:r>
            <w:r>
              <w:rPr>
                <w:spacing w:val="7"/>
              </w:rPr>
              <w:t>权重分值</w:t>
            </w:r>
          </w:p>
        </w:tc>
        <w:tc>
          <w:tcPr>
            <w:tcW w:w="4424" w:type="dxa"/>
            <w:vAlign w:val="top"/>
          </w:tcPr>
          <w:p>
            <w:pPr>
              <w:pStyle w:val="6"/>
              <w:spacing w:before="250" w:line="228" w:lineRule="auto"/>
              <w:ind w:left="1380"/>
            </w:pPr>
            <w:r>
              <w:rPr>
                <w:spacing w:val="8"/>
              </w:rPr>
              <w:t>各评分因素细分项</w:t>
            </w:r>
          </w:p>
        </w:tc>
        <w:tc>
          <w:tcPr>
            <w:tcW w:w="1358" w:type="dxa"/>
            <w:vAlign w:val="top"/>
          </w:tcPr>
          <w:p>
            <w:pPr>
              <w:pStyle w:val="6"/>
              <w:spacing w:before="250" w:line="228" w:lineRule="auto"/>
              <w:ind w:left="477"/>
            </w:pPr>
            <w:r>
              <w:rPr>
                <w:spacing w:val="3"/>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1119"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65"/>
              <w:ind w:right="13"/>
              <w:jc w:val="right"/>
            </w:pPr>
            <w:r>
              <w:rPr>
                <w:spacing w:val="-3"/>
              </w:rPr>
              <w:t>2.2.2（1）</w:t>
            </w:r>
          </w:p>
        </w:tc>
        <w:tc>
          <w:tcPr>
            <w:tcW w:w="1327"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274" w:lineRule="auto"/>
              <w:ind w:left="116" w:right="132" w:firstLine="25"/>
            </w:pPr>
            <w:r>
              <w:rPr>
                <w:spacing w:val="8"/>
              </w:rPr>
              <w:t>施工组织设</w:t>
            </w:r>
            <w:r>
              <w:t xml:space="preserve"> </w:t>
            </w:r>
            <w:r>
              <w:rPr>
                <w:spacing w:val="1"/>
              </w:rPr>
              <w:t>计（40</w:t>
            </w:r>
            <w:r>
              <w:rPr>
                <w:spacing w:val="-35"/>
              </w:rPr>
              <w:t xml:space="preserve"> </w:t>
            </w:r>
            <w:r>
              <w:rPr>
                <w:spacing w:val="1"/>
              </w:rPr>
              <w:t>分）</w:t>
            </w:r>
          </w:p>
        </w:tc>
        <w:tc>
          <w:tcPr>
            <w:tcW w:w="1962" w:type="dxa"/>
            <w:vAlign w:val="top"/>
          </w:tcPr>
          <w:p>
            <w:pPr>
              <w:pStyle w:val="6"/>
              <w:spacing w:before="267" w:line="274" w:lineRule="auto"/>
              <w:ind w:left="276" w:right="141" w:hanging="125"/>
            </w:pPr>
            <w:r>
              <w:rPr>
                <w:spacing w:val="7"/>
              </w:rPr>
              <w:t>总体施工组织布置</w:t>
            </w:r>
            <w:r>
              <w:rPr>
                <w:spacing w:val="6"/>
              </w:rPr>
              <w:t xml:space="preserve"> </w:t>
            </w:r>
            <w:r>
              <w:rPr>
                <w:spacing w:val="5"/>
              </w:rPr>
              <w:t>及规划（5</w:t>
            </w:r>
            <w:r>
              <w:rPr>
                <w:spacing w:val="-38"/>
              </w:rPr>
              <w:t xml:space="preserve"> </w:t>
            </w:r>
            <w:r>
              <w:rPr>
                <w:spacing w:val="5"/>
              </w:rPr>
              <w:t>分）</w:t>
            </w:r>
          </w:p>
        </w:tc>
        <w:tc>
          <w:tcPr>
            <w:tcW w:w="4424" w:type="dxa"/>
            <w:vAlign w:val="top"/>
          </w:tcPr>
          <w:p>
            <w:pPr>
              <w:pStyle w:val="6"/>
              <w:spacing w:before="53" w:line="278" w:lineRule="auto"/>
              <w:ind w:left="113" w:right="113"/>
              <w:jc w:val="both"/>
            </w:pPr>
            <w:r>
              <w:rPr>
                <w:spacing w:val="9"/>
              </w:rPr>
              <w:t>针对本项目的总体施工组织布置及规划（含交</w:t>
            </w:r>
            <w:r>
              <w:rPr>
                <w:spacing w:val="8"/>
              </w:rPr>
              <w:t xml:space="preserve"> 通组织及调流）优劣程度。满分</w:t>
            </w:r>
            <w:r>
              <w:rPr>
                <w:spacing w:val="-33"/>
              </w:rPr>
              <w:t xml:space="preserve"> </w:t>
            </w:r>
            <w:r>
              <w:rPr>
                <w:spacing w:val="8"/>
              </w:rPr>
              <w:t>5</w:t>
            </w:r>
            <w:r>
              <w:rPr>
                <w:spacing w:val="-36"/>
              </w:rPr>
              <w:t xml:space="preserve"> </w:t>
            </w:r>
            <w:r>
              <w:rPr>
                <w:spacing w:val="8"/>
              </w:rPr>
              <w:t>分，其它酌</w:t>
            </w:r>
            <w:r>
              <w:t xml:space="preserve"> </w:t>
            </w:r>
            <w:r>
              <w:rPr>
                <w:spacing w:val="6"/>
              </w:rPr>
              <w:t>情减分。（打分范围 3-5</w:t>
            </w:r>
            <w:r>
              <w:rPr>
                <w:spacing w:val="24"/>
              </w:rPr>
              <w:t xml:space="preserve"> </w:t>
            </w:r>
            <w:r>
              <w:rPr>
                <w:spacing w:val="6"/>
              </w:rPr>
              <w:t>分）</w:t>
            </w:r>
          </w:p>
        </w:tc>
        <w:tc>
          <w:tcPr>
            <w:tcW w:w="1358" w:type="dxa"/>
            <w:vAlign w:val="top"/>
          </w:tcPr>
          <w:p>
            <w:pPr>
              <w:spacing w:line="357" w:lineRule="auto"/>
              <w:rPr>
                <w:rFonts w:ascii="Arial"/>
                <w:sz w:val="21"/>
              </w:rPr>
            </w:pPr>
          </w:p>
          <w:p>
            <w:pPr>
              <w:pStyle w:val="6"/>
              <w:spacing w:before="65" w:line="228" w:lineRule="auto"/>
              <w:ind w:left="347"/>
            </w:pPr>
            <w:r>
              <w:rPr>
                <w:spacing w:val="1"/>
              </w:rPr>
              <w:t>3～5</w:t>
            </w:r>
            <w:r>
              <w:rPr>
                <w:spacing w:val="-34"/>
              </w:rPr>
              <w:t xml:space="preserve"> </w:t>
            </w:r>
            <w:r>
              <w:rPr>
                <w:spacing w:val="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1" w:hRule="atLeast"/>
        </w:trPr>
        <w:tc>
          <w:tcPr>
            <w:tcW w:w="1119" w:type="dxa"/>
            <w:vMerge w:val="continue"/>
            <w:tcBorders>
              <w:top w:val="nil"/>
              <w:bottom w:val="nil"/>
            </w:tcBorders>
            <w:vAlign w:val="top"/>
          </w:tcPr>
          <w:p>
            <w:pPr>
              <w:rPr>
                <w:rFonts w:ascii="Arial"/>
                <w:sz w:val="21"/>
              </w:rPr>
            </w:pPr>
          </w:p>
        </w:tc>
        <w:tc>
          <w:tcPr>
            <w:tcW w:w="1327" w:type="dxa"/>
            <w:vMerge w:val="continue"/>
            <w:tcBorders>
              <w:top w:val="nil"/>
              <w:bottom w:val="nil"/>
            </w:tcBorders>
            <w:vAlign w:val="top"/>
          </w:tcPr>
          <w:p>
            <w:pPr>
              <w:rPr>
                <w:rFonts w:ascii="Arial"/>
                <w:sz w:val="21"/>
              </w:rPr>
            </w:pPr>
          </w:p>
        </w:tc>
        <w:tc>
          <w:tcPr>
            <w:tcW w:w="1962" w:type="dxa"/>
            <w:vAlign w:val="top"/>
          </w:tcPr>
          <w:p>
            <w:pPr>
              <w:pStyle w:val="6"/>
              <w:spacing w:before="248" w:line="278" w:lineRule="auto"/>
              <w:ind w:left="114" w:right="107"/>
              <w:jc w:val="both"/>
            </w:pPr>
            <w:r>
              <w:rPr>
                <w:spacing w:val="16"/>
              </w:rPr>
              <w:t>主要工程项目的施</w:t>
            </w:r>
            <w:r>
              <w:rPr>
                <w:spacing w:val="6"/>
              </w:rPr>
              <w:t xml:space="preserve"> </w:t>
            </w:r>
            <w:r>
              <w:rPr>
                <w:spacing w:val="16"/>
              </w:rPr>
              <w:t>工方案、方法与技</w:t>
            </w:r>
            <w:r>
              <w:rPr>
                <w:spacing w:val="6"/>
              </w:rPr>
              <w:t xml:space="preserve"> </w:t>
            </w:r>
            <w:r>
              <w:rPr>
                <w:spacing w:val="4"/>
              </w:rPr>
              <w:t>术措施（8</w:t>
            </w:r>
            <w:r>
              <w:rPr>
                <w:spacing w:val="-32"/>
              </w:rPr>
              <w:t xml:space="preserve"> </w:t>
            </w:r>
            <w:r>
              <w:rPr>
                <w:spacing w:val="4"/>
              </w:rPr>
              <w:t>分）</w:t>
            </w:r>
          </w:p>
        </w:tc>
        <w:tc>
          <w:tcPr>
            <w:tcW w:w="4424" w:type="dxa"/>
            <w:vAlign w:val="top"/>
          </w:tcPr>
          <w:p>
            <w:pPr>
              <w:pStyle w:val="6"/>
              <w:spacing w:before="52" w:line="281" w:lineRule="auto"/>
              <w:ind w:left="112" w:right="103"/>
              <w:jc w:val="both"/>
            </w:pPr>
            <w:r>
              <w:rPr>
                <w:spacing w:val="9"/>
              </w:rPr>
              <w:t>针对本项目的重点、关键和难点、技术复杂工</w:t>
            </w:r>
            <w:r>
              <w:rPr>
                <w:spacing w:val="8"/>
              </w:rPr>
              <w:t xml:space="preserve"> </w:t>
            </w:r>
            <w:r>
              <w:rPr>
                <w:spacing w:val="9"/>
              </w:rPr>
              <w:t xml:space="preserve">程（含沥青路面冷再生）的施工方案、方法及 </w:t>
            </w:r>
            <w:r>
              <w:rPr>
                <w:spacing w:val="-2"/>
              </w:rPr>
              <w:t>措施优劣程度。满分</w:t>
            </w:r>
            <w:r>
              <w:rPr>
                <w:spacing w:val="-22"/>
              </w:rPr>
              <w:t xml:space="preserve"> </w:t>
            </w:r>
            <w:r>
              <w:rPr>
                <w:spacing w:val="-2"/>
              </w:rPr>
              <w:t>8</w:t>
            </w:r>
            <w:r>
              <w:rPr>
                <w:spacing w:val="-35"/>
              </w:rPr>
              <w:t xml:space="preserve"> </w:t>
            </w:r>
            <w:r>
              <w:rPr>
                <w:spacing w:val="-2"/>
              </w:rPr>
              <w:t>分，其它酌情减分。（打</w:t>
            </w:r>
            <w:r>
              <w:t xml:space="preserve"> </w:t>
            </w:r>
            <w:r>
              <w:rPr>
                <w:spacing w:val="4"/>
              </w:rPr>
              <w:t>分范围 4.8-8</w:t>
            </w:r>
            <w:r>
              <w:rPr>
                <w:spacing w:val="-31"/>
              </w:rPr>
              <w:t xml:space="preserve"> </w:t>
            </w:r>
            <w:r>
              <w:rPr>
                <w:spacing w:val="4"/>
              </w:rPr>
              <w:t>分）</w:t>
            </w:r>
          </w:p>
        </w:tc>
        <w:tc>
          <w:tcPr>
            <w:tcW w:w="1358" w:type="dxa"/>
            <w:vAlign w:val="top"/>
          </w:tcPr>
          <w:p>
            <w:pPr>
              <w:spacing w:line="246" w:lineRule="auto"/>
              <w:rPr>
                <w:rFonts w:ascii="Arial"/>
                <w:sz w:val="21"/>
              </w:rPr>
            </w:pPr>
          </w:p>
          <w:p>
            <w:pPr>
              <w:spacing w:line="246" w:lineRule="auto"/>
              <w:rPr>
                <w:rFonts w:ascii="Arial"/>
                <w:sz w:val="21"/>
              </w:rPr>
            </w:pPr>
          </w:p>
          <w:p>
            <w:pPr>
              <w:pStyle w:val="6"/>
              <w:spacing w:before="65" w:line="228" w:lineRule="auto"/>
              <w:ind w:left="236"/>
            </w:pPr>
            <w:r>
              <w:rPr>
                <w:spacing w:val="3"/>
              </w:rPr>
              <w:t>4.8～8</w:t>
            </w:r>
            <w:r>
              <w:rPr>
                <w:spacing w:val="-35"/>
              </w:rPr>
              <w:t xml:space="preserve"> </w:t>
            </w:r>
            <w:r>
              <w:rPr>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119" w:type="dxa"/>
            <w:vMerge w:val="continue"/>
            <w:tcBorders>
              <w:top w:val="nil"/>
              <w:bottom w:val="nil"/>
            </w:tcBorders>
            <w:vAlign w:val="top"/>
          </w:tcPr>
          <w:p>
            <w:pPr>
              <w:rPr>
                <w:rFonts w:ascii="Arial"/>
                <w:sz w:val="21"/>
              </w:rPr>
            </w:pPr>
          </w:p>
        </w:tc>
        <w:tc>
          <w:tcPr>
            <w:tcW w:w="1327" w:type="dxa"/>
            <w:vMerge w:val="continue"/>
            <w:tcBorders>
              <w:top w:val="nil"/>
              <w:bottom w:val="nil"/>
            </w:tcBorders>
            <w:vAlign w:val="top"/>
          </w:tcPr>
          <w:p>
            <w:pPr>
              <w:rPr>
                <w:rFonts w:ascii="Arial"/>
                <w:sz w:val="21"/>
              </w:rPr>
            </w:pPr>
          </w:p>
        </w:tc>
        <w:tc>
          <w:tcPr>
            <w:tcW w:w="1962" w:type="dxa"/>
            <w:vAlign w:val="top"/>
          </w:tcPr>
          <w:p>
            <w:pPr>
              <w:spacing w:line="298" w:lineRule="auto"/>
              <w:rPr>
                <w:rFonts w:ascii="Arial"/>
                <w:sz w:val="21"/>
              </w:rPr>
            </w:pPr>
          </w:p>
          <w:p>
            <w:pPr>
              <w:pStyle w:val="6"/>
              <w:spacing w:before="65" w:line="274" w:lineRule="auto"/>
              <w:ind w:left="277" w:right="141" w:hanging="129"/>
            </w:pPr>
            <w:r>
              <w:rPr>
                <w:spacing w:val="8"/>
              </w:rPr>
              <w:t>工期保证体系及保</w:t>
            </w:r>
            <w:r>
              <w:rPr>
                <w:spacing w:val="2"/>
              </w:rPr>
              <w:t xml:space="preserve"> </w:t>
            </w:r>
            <w:r>
              <w:rPr>
                <w:spacing w:val="4"/>
              </w:rPr>
              <w:t>证措施（5</w:t>
            </w:r>
            <w:r>
              <w:rPr>
                <w:spacing w:val="-33"/>
              </w:rPr>
              <w:t xml:space="preserve"> </w:t>
            </w:r>
            <w:r>
              <w:rPr>
                <w:spacing w:val="4"/>
              </w:rPr>
              <w:t>分）</w:t>
            </w:r>
          </w:p>
        </w:tc>
        <w:tc>
          <w:tcPr>
            <w:tcW w:w="4424" w:type="dxa"/>
            <w:vAlign w:val="top"/>
          </w:tcPr>
          <w:p>
            <w:pPr>
              <w:pStyle w:val="6"/>
              <w:spacing w:before="55" w:line="274" w:lineRule="auto"/>
              <w:ind w:left="112" w:right="106"/>
              <w:jc w:val="both"/>
            </w:pPr>
            <w:r>
              <w:rPr>
                <w:spacing w:val="9"/>
              </w:rPr>
              <w:t>针对本项目的工期保证体系及保证措施优劣程</w:t>
            </w:r>
            <w:r>
              <w:rPr>
                <w:spacing w:val="8"/>
              </w:rPr>
              <w:t xml:space="preserve"> </w:t>
            </w:r>
            <w:r>
              <w:rPr>
                <w:spacing w:val="9"/>
              </w:rPr>
              <w:t xml:space="preserve">度（含预计每月计量周期完成的任务量和资金 </w:t>
            </w:r>
            <w:r>
              <w:rPr>
                <w:spacing w:val="-2"/>
              </w:rPr>
              <w:t>金额）。满分</w:t>
            </w:r>
            <w:r>
              <w:rPr>
                <w:spacing w:val="-24"/>
              </w:rPr>
              <w:t xml:space="preserve"> </w:t>
            </w:r>
            <w:r>
              <w:rPr>
                <w:spacing w:val="-2"/>
              </w:rPr>
              <w:t>5</w:t>
            </w:r>
            <w:r>
              <w:rPr>
                <w:spacing w:val="-35"/>
              </w:rPr>
              <w:t xml:space="preserve"> </w:t>
            </w:r>
            <w:r>
              <w:rPr>
                <w:spacing w:val="-2"/>
              </w:rPr>
              <w:t>分，其它酌情减分。（打分范围</w:t>
            </w:r>
            <w:r>
              <w:t xml:space="preserve"> </w:t>
            </w:r>
            <w:r>
              <w:rPr>
                <w:spacing w:val="1"/>
              </w:rPr>
              <w:t>3-5</w:t>
            </w:r>
            <w:r>
              <w:rPr>
                <w:spacing w:val="15"/>
              </w:rPr>
              <w:t xml:space="preserve"> </w:t>
            </w:r>
            <w:r>
              <w:rPr>
                <w:spacing w:val="1"/>
              </w:rPr>
              <w:t>分）</w:t>
            </w:r>
          </w:p>
        </w:tc>
        <w:tc>
          <w:tcPr>
            <w:tcW w:w="1358" w:type="dxa"/>
            <w:vAlign w:val="top"/>
          </w:tcPr>
          <w:p>
            <w:pPr>
              <w:spacing w:line="454" w:lineRule="auto"/>
              <w:rPr>
                <w:rFonts w:ascii="Arial"/>
                <w:sz w:val="21"/>
              </w:rPr>
            </w:pPr>
          </w:p>
          <w:p>
            <w:pPr>
              <w:pStyle w:val="6"/>
              <w:spacing w:before="65" w:line="228" w:lineRule="auto"/>
              <w:ind w:left="347"/>
            </w:pPr>
            <w:r>
              <w:rPr>
                <w:spacing w:val="1"/>
              </w:rPr>
              <w:t>3～5</w:t>
            </w:r>
            <w:r>
              <w:rPr>
                <w:spacing w:val="-34"/>
              </w:rPr>
              <w:t xml:space="preserve"> </w:t>
            </w:r>
            <w:r>
              <w:rPr>
                <w:spacing w:val="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2" w:hRule="atLeast"/>
        </w:trPr>
        <w:tc>
          <w:tcPr>
            <w:tcW w:w="1119" w:type="dxa"/>
            <w:vMerge w:val="continue"/>
            <w:tcBorders>
              <w:top w:val="nil"/>
              <w:bottom w:val="nil"/>
            </w:tcBorders>
            <w:vAlign w:val="top"/>
          </w:tcPr>
          <w:p>
            <w:pPr>
              <w:rPr>
                <w:rFonts w:ascii="Arial"/>
                <w:sz w:val="21"/>
              </w:rPr>
            </w:pPr>
          </w:p>
        </w:tc>
        <w:tc>
          <w:tcPr>
            <w:tcW w:w="1327" w:type="dxa"/>
            <w:vMerge w:val="continue"/>
            <w:tcBorders>
              <w:top w:val="nil"/>
              <w:bottom w:val="nil"/>
            </w:tcBorders>
            <w:vAlign w:val="top"/>
          </w:tcPr>
          <w:p>
            <w:pPr>
              <w:rPr>
                <w:rFonts w:ascii="Arial"/>
                <w:sz w:val="21"/>
              </w:rPr>
            </w:pPr>
          </w:p>
        </w:tc>
        <w:tc>
          <w:tcPr>
            <w:tcW w:w="1962" w:type="dxa"/>
            <w:vAlign w:val="top"/>
          </w:tcPr>
          <w:p>
            <w:pPr>
              <w:spacing w:line="417" w:lineRule="auto"/>
              <w:rPr>
                <w:rFonts w:ascii="Arial"/>
                <w:sz w:val="21"/>
              </w:rPr>
            </w:pPr>
          </w:p>
          <w:p>
            <w:pPr>
              <w:pStyle w:val="6"/>
              <w:spacing w:before="65" w:line="274" w:lineRule="auto"/>
              <w:ind w:left="111" w:right="34" w:firstLine="3"/>
            </w:pPr>
            <w:r>
              <w:rPr>
                <w:spacing w:val="16"/>
              </w:rPr>
              <w:t>工程质量管理体系</w:t>
            </w:r>
            <w:r>
              <w:rPr>
                <w:spacing w:val="5"/>
              </w:rPr>
              <w:t xml:space="preserve"> 及保证措施（5</w:t>
            </w:r>
            <w:r>
              <w:rPr>
                <w:spacing w:val="-36"/>
              </w:rPr>
              <w:t xml:space="preserve"> </w:t>
            </w:r>
            <w:r>
              <w:rPr>
                <w:spacing w:val="5"/>
              </w:rPr>
              <w:t>分）</w:t>
            </w:r>
          </w:p>
        </w:tc>
        <w:tc>
          <w:tcPr>
            <w:tcW w:w="4424" w:type="dxa"/>
            <w:vAlign w:val="top"/>
          </w:tcPr>
          <w:p>
            <w:pPr>
              <w:pStyle w:val="6"/>
              <w:spacing w:before="53" w:line="227" w:lineRule="auto"/>
              <w:ind w:left="113"/>
            </w:pPr>
            <w:r>
              <w:rPr>
                <w:spacing w:val="9"/>
              </w:rPr>
              <w:t>针对本项目的工程质量管理体系及保证措施</w:t>
            </w:r>
          </w:p>
          <w:p>
            <w:pPr>
              <w:pStyle w:val="6"/>
              <w:spacing w:before="67" w:line="278" w:lineRule="auto"/>
              <w:ind w:left="114" w:right="103" w:firstLine="9"/>
            </w:pPr>
            <w:r>
              <w:rPr>
                <w:spacing w:val="9"/>
              </w:rPr>
              <w:t>（含档案及内业管理措施）优劣程度（应建立</w:t>
            </w:r>
            <w:r>
              <w:t xml:space="preserve"> </w:t>
            </w:r>
            <w:r>
              <w:rPr>
                <w:spacing w:val="-2"/>
              </w:rPr>
              <w:t>有效的质量管理体系）。满分</w:t>
            </w:r>
            <w:r>
              <w:rPr>
                <w:spacing w:val="-21"/>
              </w:rPr>
              <w:t xml:space="preserve"> </w:t>
            </w:r>
            <w:r>
              <w:rPr>
                <w:spacing w:val="-2"/>
              </w:rPr>
              <w:t>5</w:t>
            </w:r>
            <w:r>
              <w:rPr>
                <w:spacing w:val="-38"/>
              </w:rPr>
              <w:t xml:space="preserve"> </w:t>
            </w:r>
            <w:r>
              <w:rPr>
                <w:spacing w:val="-2"/>
              </w:rPr>
              <w:t>分，其它酌情减</w:t>
            </w:r>
            <w:r>
              <w:t xml:space="preserve"> </w:t>
            </w:r>
            <w:r>
              <w:rPr>
                <w:spacing w:val="6"/>
              </w:rPr>
              <w:t>分。（打分范围 3-5</w:t>
            </w:r>
            <w:r>
              <w:rPr>
                <w:spacing w:val="15"/>
              </w:rPr>
              <w:t xml:space="preserve"> </w:t>
            </w:r>
            <w:r>
              <w:rPr>
                <w:spacing w:val="6"/>
              </w:rPr>
              <w:t>分）</w:t>
            </w:r>
          </w:p>
        </w:tc>
        <w:tc>
          <w:tcPr>
            <w:tcW w:w="1358" w:type="dxa"/>
            <w:vAlign w:val="top"/>
          </w:tcPr>
          <w:p>
            <w:pPr>
              <w:spacing w:line="286" w:lineRule="auto"/>
              <w:rPr>
                <w:rFonts w:ascii="Arial"/>
                <w:sz w:val="21"/>
              </w:rPr>
            </w:pPr>
          </w:p>
          <w:p>
            <w:pPr>
              <w:spacing w:line="287" w:lineRule="auto"/>
              <w:rPr>
                <w:rFonts w:ascii="Arial"/>
                <w:sz w:val="21"/>
              </w:rPr>
            </w:pPr>
          </w:p>
          <w:p>
            <w:pPr>
              <w:pStyle w:val="6"/>
              <w:spacing w:before="65" w:line="228" w:lineRule="auto"/>
              <w:ind w:left="347"/>
            </w:pPr>
            <w:r>
              <w:rPr>
                <w:spacing w:val="1"/>
              </w:rPr>
              <w:t>3～5</w:t>
            </w:r>
            <w:r>
              <w:rPr>
                <w:spacing w:val="-34"/>
              </w:rPr>
              <w:t xml:space="preserve"> </w:t>
            </w:r>
            <w:r>
              <w:rPr>
                <w:spacing w:val="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1119" w:type="dxa"/>
            <w:vMerge w:val="continue"/>
            <w:tcBorders>
              <w:top w:val="nil"/>
              <w:bottom w:val="nil"/>
            </w:tcBorders>
            <w:vAlign w:val="top"/>
          </w:tcPr>
          <w:p>
            <w:pPr>
              <w:rPr>
                <w:rFonts w:ascii="Arial"/>
                <w:sz w:val="21"/>
              </w:rPr>
            </w:pPr>
          </w:p>
        </w:tc>
        <w:tc>
          <w:tcPr>
            <w:tcW w:w="1327" w:type="dxa"/>
            <w:vMerge w:val="continue"/>
            <w:tcBorders>
              <w:top w:val="nil"/>
              <w:bottom w:val="nil"/>
            </w:tcBorders>
            <w:vAlign w:val="top"/>
          </w:tcPr>
          <w:p>
            <w:pPr>
              <w:rPr>
                <w:rFonts w:ascii="Arial"/>
                <w:sz w:val="21"/>
              </w:rPr>
            </w:pPr>
          </w:p>
        </w:tc>
        <w:tc>
          <w:tcPr>
            <w:tcW w:w="1962" w:type="dxa"/>
            <w:vAlign w:val="top"/>
          </w:tcPr>
          <w:p>
            <w:pPr>
              <w:pStyle w:val="6"/>
              <w:spacing w:before="298" w:line="274" w:lineRule="auto"/>
              <w:ind w:left="111" w:right="34" w:firstLine="5"/>
            </w:pPr>
            <w:r>
              <w:rPr>
                <w:spacing w:val="16"/>
              </w:rPr>
              <w:t>安全生产管理体系</w:t>
            </w:r>
            <w:r>
              <w:rPr>
                <w:spacing w:val="3"/>
              </w:rPr>
              <w:t xml:space="preserve"> </w:t>
            </w:r>
            <w:r>
              <w:rPr>
                <w:spacing w:val="5"/>
              </w:rPr>
              <w:t>及保证措施（5</w:t>
            </w:r>
            <w:r>
              <w:rPr>
                <w:spacing w:val="-36"/>
              </w:rPr>
              <w:t xml:space="preserve"> </w:t>
            </w:r>
            <w:r>
              <w:rPr>
                <w:spacing w:val="5"/>
              </w:rPr>
              <w:t>分）</w:t>
            </w:r>
          </w:p>
        </w:tc>
        <w:tc>
          <w:tcPr>
            <w:tcW w:w="4424" w:type="dxa"/>
            <w:vAlign w:val="top"/>
          </w:tcPr>
          <w:p>
            <w:pPr>
              <w:pStyle w:val="6"/>
              <w:spacing w:before="55" w:line="278" w:lineRule="auto"/>
              <w:ind w:left="115" w:right="102" w:hanging="2"/>
              <w:jc w:val="both"/>
            </w:pPr>
            <w:r>
              <w:rPr>
                <w:spacing w:val="9"/>
              </w:rPr>
              <w:t>针对本项目的安全生产管理体系及保证措施优</w:t>
            </w:r>
            <w:r>
              <w:rPr>
                <w:spacing w:val="8"/>
              </w:rPr>
              <w:t xml:space="preserve"> </w:t>
            </w:r>
            <w:r>
              <w:rPr>
                <w:spacing w:val="1"/>
              </w:rPr>
              <w:t>劣程度（应建立有效的安全管理体系）。满分</w:t>
            </w:r>
            <w:r>
              <w:rPr>
                <w:spacing w:val="-22"/>
              </w:rPr>
              <w:t xml:space="preserve"> </w:t>
            </w:r>
            <w:r>
              <w:rPr>
                <w:spacing w:val="1"/>
              </w:rPr>
              <w:t>5</w:t>
            </w:r>
            <w:r>
              <w:t xml:space="preserve"> </w:t>
            </w:r>
            <w:r>
              <w:rPr>
                <w:spacing w:val="7"/>
              </w:rPr>
              <w:t>分，其它酌情减分。（打分范围 3-5 分）</w:t>
            </w:r>
          </w:p>
        </w:tc>
        <w:tc>
          <w:tcPr>
            <w:tcW w:w="1358" w:type="dxa"/>
            <w:vAlign w:val="top"/>
          </w:tcPr>
          <w:p>
            <w:pPr>
              <w:spacing w:line="388" w:lineRule="auto"/>
              <w:rPr>
                <w:rFonts w:ascii="Arial"/>
                <w:sz w:val="21"/>
              </w:rPr>
            </w:pPr>
          </w:p>
          <w:p>
            <w:pPr>
              <w:pStyle w:val="6"/>
              <w:spacing w:before="65" w:line="228" w:lineRule="auto"/>
              <w:ind w:left="347"/>
            </w:pPr>
            <w:r>
              <w:rPr>
                <w:spacing w:val="1"/>
              </w:rPr>
              <w:t>3～5</w:t>
            </w:r>
            <w:r>
              <w:rPr>
                <w:spacing w:val="-34"/>
              </w:rPr>
              <w:t xml:space="preserve"> </w:t>
            </w:r>
            <w:r>
              <w:rPr>
                <w:spacing w:val="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1119" w:type="dxa"/>
            <w:vMerge w:val="continue"/>
            <w:tcBorders>
              <w:top w:val="nil"/>
              <w:bottom w:val="nil"/>
            </w:tcBorders>
            <w:vAlign w:val="top"/>
          </w:tcPr>
          <w:p>
            <w:pPr>
              <w:rPr>
                <w:rFonts w:ascii="Arial"/>
                <w:sz w:val="21"/>
              </w:rPr>
            </w:pPr>
          </w:p>
        </w:tc>
        <w:tc>
          <w:tcPr>
            <w:tcW w:w="1327" w:type="dxa"/>
            <w:vMerge w:val="continue"/>
            <w:tcBorders>
              <w:top w:val="nil"/>
              <w:bottom w:val="nil"/>
            </w:tcBorders>
            <w:vAlign w:val="top"/>
          </w:tcPr>
          <w:p>
            <w:pPr>
              <w:rPr>
                <w:rFonts w:ascii="Arial"/>
                <w:sz w:val="21"/>
              </w:rPr>
            </w:pPr>
          </w:p>
        </w:tc>
        <w:tc>
          <w:tcPr>
            <w:tcW w:w="1962" w:type="dxa"/>
            <w:vAlign w:val="top"/>
          </w:tcPr>
          <w:p>
            <w:pPr>
              <w:pStyle w:val="6"/>
              <w:spacing w:before="191" w:line="278" w:lineRule="auto"/>
              <w:ind w:left="112" w:right="107"/>
              <w:jc w:val="both"/>
            </w:pPr>
            <w:r>
              <w:rPr>
                <w:spacing w:val="17"/>
              </w:rPr>
              <w:t>环境保护、水土保</w:t>
            </w:r>
            <w:r>
              <w:t xml:space="preserve"> </w:t>
            </w:r>
            <w:r>
              <w:rPr>
                <w:spacing w:val="17"/>
              </w:rPr>
              <w:t>持保证体系及保证</w:t>
            </w:r>
            <w:r>
              <w:t xml:space="preserve"> </w:t>
            </w:r>
            <w:r>
              <w:rPr>
                <w:spacing w:val="4"/>
              </w:rPr>
              <w:t>措施（4</w:t>
            </w:r>
            <w:r>
              <w:rPr>
                <w:spacing w:val="-37"/>
              </w:rPr>
              <w:t xml:space="preserve"> </w:t>
            </w:r>
            <w:r>
              <w:rPr>
                <w:spacing w:val="4"/>
              </w:rPr>
              <w:t>分）</w:t>
            </w:r>
          </w:p>
        </w:tc>
        <w:tc>
          <w:tcPr>
            <w:tcW w:w="4424" w:type="dxa"/>
            <w:vAlign w:val="top"/>
          </w:tcPr>
          <w:p>
            <w:pPr>
              <w:pStyle w:val="6"/>
              <w:spacing w:before="51" w:line="266" w:lineRule="auto"/>
              <w:ind w:left="113" w:right="115"/>
              <w:jc w:val="both"/>
            </w:pPr>
            <w:r>
              <w:rPr>
                <w:spacing w:val="9"/>
              </w:rPr>
              <w:t>针对本项目的环境保护、水土保持保证体系及</w:t>
            </w:r>
            <w:r>
              <w:rPr>
                <w:spacing w:val="8"/>
              </w:rPr>
              <w:t xml:space="preserve"> </w:t>
            </w:r>
            <w:r>
              <w:rPr>
                <w:spacing w:val="9"/>
              </w:rPr>
              <w:t>保证措施优劣程度（应建立有效的环境管理体</w:t>
            </w:r>
            <w:r>
              <w:rPr>
                <w:spacing w:val="7"/>
              </w:rPr>
              <w:t xml:space="preserve"> </w:t>
            </w:r>
            <w:r>
              <w:rPr>
                <w:spacing w:val="3"/>
              </w:rPr>
              <w:t>系）。满分</w:t>
            </w:r>
            <w:r>
              <w:rPr>
                <w:spacing w:val="-38"/>
              </w:rPr>
              <w:t xml:space="preserve"> </w:t>
            </w:r>
            <w:r>
              <w:rPr>
                <w:spacing w:val="3"/>
              </w:rPr>
              <w:t>4</w:t>
            </w:r>
            <w:r>
              <w:rPr>
                <w:spacing w:val="-38"/>
              </w:rPr>
              <w:t xml:space="preserve"> </w:t>
            </w:r>
            <w:r>
              <w:rPr>
                <w:spacing w:val="3"/>
              </w:rPr>
              <w:t>分，其它酌情减分。（打分范围</w:t>
            </w:r>
            <w:r>
              <w:t xml:space="preserve">  </w:t>
            </w:r>
            <w:r>
              <w:rPr>
                <w:spacing w:val="1"/>
              </w:rPr>
              <w:t>2.4-4</w:t>
            </w:r>
            <w:r>
              <w:rPr>
                <w:spacing w:val="23"/>
              </w:rPr>
              <w:t xml:space="preserve"> </w:t>
            </w:r>
            <w:r>
              <w:rPr>
                <w:spacing w:val="1"/>
              </w:rPr>
              <w:t>分）</w:t>
            </w:r>
          </w:p>
        </w:tc>
        <w:tc>
          <w:tcPr>
            <w:tcW w:w="1358" w:type="dxa"/>
            <w:vAlign w:val="top"/>
          </w:tcPr>
          <w:p>
            <w:pPr>
              <w:spacing w:line="434" w:lineRule="auto"/>
              <w:rPr>
                <w:rFonts w:ascii="Arial"/>
                <w:sz w:val="21"/>
              </w:rPr>
            </w:pPr>
          </w:p>
          <w:p>
            <w:pPr>
              <w:pStyle w:val="6"/>
              <w:spacing w:before="65" w:line="228" w:lineRule="auto"/>
              <w:ind w:left="240"/>
            </w:pPr>
            <w:r>
              <w:rPr>
                <w:spacing w:val="3"/>
              </w:rPr>
              <w:t>2.4～4</w:t>
            </w:r>
            <w:r>
              <w:rPr>
                <w:spacing w:val="-38"/>
              </w:rPr>
              <w:t xml:space="preserve"> </w:t>
            </w:r>
            <w:r>
              <w:rPr>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1119" w:type="dxa"/>
            <w:vMerge w:val="continue"/>
            <w:tcBorders>
              <w:top w:val="nil"/>
              <w:bottom w:val="nil"/>
            </w:tcBorders>
            <w:vAlign w:val="top"/>
          </w:tcPr>
          <w:p>
            <w:pPr>
              <w:rPr>
                <w:rFonts w:ascii="Arial"/>
                <w:sz w:val="21"/>
              </w:rPr>
            </w:pPr>
          </w:p>
        </w:tc>
        <w:tc>
          <w:tcPr>
            <w:tcW w:w="1327" w:type="dxa"/>
            <w:vMerge w:val="continue"/>
            <w:tcBorders>
              <w:top w:val="nil"/>
              <w:bottom w:val="nil"/>
            </w:tcBorders>
            <w:vAlign w:val="top"/>
          </w:tcPr>
          <w:p>
            <w:pPr>
              <w:rPr>
                <w:rFonts w:ascii="Arial"/>
                <w:sz w:val="21"/>
              </w:rPr>
            </w:pPr>
          </w:p>
        </w:tc>
        <w:tc>
          <w:tcPr>
            <w:tcW w:w="1962" w:type="dxa"/>
            <w:vAlign w:val="top"/>
          </w:tcPr>
          <w:p>
            <w:pPr>
              <w:pStyle w:val="6"/>
              <w:spacing w:before="68" w:line="274" w:lineRule="auto"/>
              <w:ind w:left="112" w:right="107" w:firstLine="1"/>
              <w:jc w:val="both"/>
            </w:pPr>
            <w:r>
              <w:rPr>
                <w:spacing w:val="16"/>
              </w:rPr>
              <w:t>文明施工、文物保</w:t>
            </w:r>
            <w:r>
              <w:rPr>
                <w:spacing w:val="6"/>
              </w:rPr>
              <w:t xml:space="preserve"> </w:t>
            </w:r>
            <w:r>
              <w:rPr>
                <w:spacing w:val="17"/>
              </w:rPr>
              <w:t>护保证体系及保证</w:t>
            </w:r>
            <w:r>
              <w:t xml:space="preserve"> </w:t>
            </w:r>
            <w:r>
              <w:rPr>
                <w:spacing w:val="4"/>
              </w:rPr>
              <w:t>措施（4</w:t>
            </w:r>
            <w:r>
              <w:rPr>
                <w:spacing w:val="-37"/>
              </w:rPr>
              <w:t xml:space="preserve"> </w:t>
            </w:r>
            <w:r>
              <w:rPr>
                <w:spacing w:val="4"/>
              </w:rPr>
              <w:t>分）</w:t>
            </w:r>
          </w:p>
        </w:tc>
        <w:tc>
          <w:tcPr>
            <w:tcW w:w="4424" w:type="dxa"/>
            <w:vAlign w:val="top"/>
          </w:tcPr>
          <w:p>
            <w:pPr>
              <w:pStyle w:val="6"/>
              <w:spacing w:before="55" w:line="278" w:lineRule="auto"/>
              <w:ind w:left="113" w:right="33"/>
              <w:jc w:val="both"/>
            </w:pPr>
            <w:r>
              <w:rPr>
                <w:spacing w:val="9"/>
              </w:rPr>
              <w:t>针对本项目的文明施工、文物保护保证体系及</w:t>
            </w:r>
            <w:r>
              <w:rPr>
                <w:spacing w:val="4"/>
              </w:rPr>
              <w:t xml:space="preserve">  </w:t>
            </w:r>
            <w:r>
              <w:rPr>
                <w:spacing w:val="2"/>
              </w:rPr>
              <w:t>保证措施优劣程度。满分</w:t>
            </w:r>
            <w:r>
              <w:rPr>
                <w:spacing w:val="-34"/>
              </w:rPr>
              <w:t xml:space="preserve"> </w:t>
            </w:r>
            <w:r>
              <w:rPr>
                <w:spacing w:val="2"/>
              </w:rPr>
              <w:t>4</w:t>
            </w:r>
            <w:r>
              <w:rPr>
                <w:spacing w:val="-38"/>
              </w:rPr>
              <w:t xml:space="preserve"> </w:t>
            </w:r>
            <w:r>
              <w:rPr>
                <w:spacing w:val="2"/>
              </w:rPr>
              <w:t>分，其它酌情减分。</w:t>
            </w:r>
            <w:r>
              <w:t xml:space="preserve"> </w:t>
            </w:r>
            <w:r>
              <w:rPr>
                <w:spacing w:val="5"/>
              </w:rPr>
              <w:t>（打分范围 2.4-4</w:t>
            </w:r>
            <w:r>
              <w:rPr>
                <w:spacing w:val="19"/>
              </w:rPr>
              <w:t xml:space="preserve"> </w:t>
            </w:r>
            <w:r>
              <w:rPr>
                <w:spacing w:val="5"/>
              </w:rPr>
              <w:t>分）</w:t>
            </w:r>
          </w:p>
        </w:tc>
        <w:tc>
          <w:tcPr>
            <w:tcW w:w="1358" w:type="dxa"/>
            <w:vAlign w:val="top"/>
          </w:tcPr>
          <w:p>
            <w:pPr>
              <w:spacing w:line="313" w:lineRule="auto"/>
              <w:rPr>
                <w:rFonts w:ascii="Arial"/>
                <w:sz w:val="21"/>
              </w:rPr>
            </w:pPr>
          </w:p>
          <w:p>
            <w:pPr>
              <w:pStyle w:val="6"/>
              <w:spacing w:before="65" w:line="228" w:lineRule="auto"/>
              <w:ind w:left="240"/>
            </w:pPr>
            <w:r>
              <w:rPr>
                <w:spacing w:val="3"/>
              </w:rPr>
              <w:t>2.4～4</w:t>
            </w:r>
            <w:r>
              <w:rPr>
                <w:spacing w:val="-38"/>
              </w:rPr>
              <w:t xml:space="preserve"> </w:t>
            </w:r>
            <w:r>
              <w:rPr>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119" w:type="dxa"/>
            <w:vMerge w:val="continue"/>
            <w:tcBorders>
              <w:top w:val="nil"/>
            </w:tcBorders>
            <w:vAlign w:val="top"/>
          </w:tcPr>
          <w:p>
            <w:pPr>
              <w:rPr>
                <w:rFonts w:ascii="Arial"/>
                <w:sz w:val="21"/>
              </w:rPr>
            </w:pPr>
          </w:p>
        </w:tc>
        <w:tc>
          <w:tcPr>
            <w:tcW w:w="1327" w:type="dxa"/>
            <w:vMerge w:val="continue"/>
            <w:tcBorders>
              <w:top w:val="nil"/>
            </w:tcBorders>
            <w:vAlign w:val="top"/>
          </w:tcPr>
          <w:p>
            <w:pPr>
              <w:rPr>
                <w:rFonts w:ascii="Arial"/>
                <w:sz w:val="21"/>
              </w:rPr>
            </w:pPr>
          </w:p>
        </w:tc>
        <w:tc>
          <w:tcPr>
            <w:tcW w:w="1962" w:type="dxa"/>
            <w:vAlign w:val="top"/>
          </w:tcPr>
          <w:p>
            <w:pPr>
              <w:pStyle w:val="6"/>
              <w:spacing w:before="53" w:line="268" w:lineRule="auto"/>
              <w:ind w:left="116" w:right="107" w:hanging="1"/>
              <w:jc w:val="both"/>
            </w:pPr>
            <w:r>
              <w:rPr>
                <w:spacing w:val="16"/>
              </w:rPr>
              <w:t>项目风险预测与防</w:t>
            </w:r>
            <w:r>
              <w:rPr>
                <w:spacing w:val="4"/>
              </w:rPr>
              <w:t xml:space="preserve"> </w:t>
            </w:r>
            <w:r>
              <w:rPr>
                <w:spacing w:val="16"/>
              </w:rPr>
              <w:t>范，事故应急预案</w:t>
            </w:r>
            <w:r>
              <w:rPr>
                <w:spacing w:val="2"/>
              </w:rPr>
              <w:t xml:space="preserve"> </w:t>
            </w:r>
            <w:r>
              <w:t>（4</w:t>
            </w:r>
            <w:r>
              <w:rPr>
                <w:spacing w:val="-38"/>
              </w:rPr>
              <w:t xml:space="preserve"> </w:t>
            </w:r>
            <w:r>
              <w:t>分）</w:t>
            </w:r>
          </w:p>
        </w:tc>
        <w:tc>
          <w:tcPr>
            <w:tcW w:w="4424" w:type="dxa"/>
            <w:vAlign w:val="top"/>
          </w:tcPr>
          <w:p>
            <w:pPr>
              <w:pStyle w:val="6"/>
              <w:spacing w:before="53" w:line="268" w:lineRule="auto"/>
              <w:ind w:left="114" w:right="103" w:hanging="1"/>
              <w:jc w:val="both"/>
            </w:pPr>
            <w:r>
              <w:rPr>
                <w:spacing w:val="9"/>
              </w:rPr>
              <w:t>针对本项目的项目风险预测与防范，事故应急</w:t>
            </w:r>
            <w:r>
              <w:rPr>
                <w:spacing w:val="8"/>
              </w:rPr>
              <w:t xml:space="preserve"> </w:t>
            </w:r>
            <w:r>
              <w:rPr>
                <w:spacing w:val="-2"/>
              </w:rPr>
              <w:t>预案优劣程度。满分</w:t>
            </w:r>
            <w:r>
              <w:rPr>
                <w:spacing w:val="-24"/>
              </w:rPr>
              <w:t xml:space="preserve"> </w:t>
            </w:r>
            <w:r>
              <w:rPr>
                <w:spacing w:val="-2"/>
              </w:rPr>
              <w:t>4</w:t>
            </w:r>
            <w:r>
              <w:rPr>
                <w:spacing w:val="-36"/>
              </w:rPr>
              <w:t xml:space="preserve"> </w:t>
            </w:r>
            <w:r>
              <w:rPr>
                <w:spacing w:val="-2"/>
              </w:rPr>
              <w:t>分，其它酌情减分。（打</w:t>
            </w:r>
            <w:r>
              <w:t xml:space="preserve"> </w:t>
            </w:r>
            <w:r>
              <w:rPr>
                <w:spacing w:val="4"/>
              </w:rPr>
              <w:t>分范围 2.4-4</w:t>
            </w:r>
            <w:r>
              <w:rPr>
                <w:spacing w:val="19"/>
              </w:rPr>
              <w:t xml:space="preserve"> </w:t>
            </w:r>
            <w:r>
              <w:rPr>
                <w:spacing w:val="4"/>
              </w:rPr>
              <w:t>分）</w:t>
            </w:r>
          </w:p>
        </w:tc>
        <w:tc>
          <w:tcPr>
            <w:tcW w:w="1358" w:type="dxa"/>
            <w:vAlign w:val="top"/>
          </w:tcPr>
          <w:p>
            <w:pPr>
              <w:spacing w:line="297" w:lineRule="auto"/>
              <w:rPr>
                <w:rFonts w:ascii="Arial"/>
                <w:sz w:val="21"/>
              </w:rPr>
            </w:pPr>
          </w:p>
          <w:p>
            <w:pPr>
              <w:pStyle w:val="6"/>
              <w:spacing w:before="65" w:line="228" w:lineRule="auto"/>
              <w:ind w:left="240"/>
            </w:pPr>
            <w:r>
              <w:rPr>
                <w:spacing w:val="3"/>
              </w:rPr>
              <w:t>2.4～4</w:t>
            </w:r>
            <w:r>
              <w:rPr>
                <w:spacing w:val="-38"/>
              </w:rPr>
              <w:t xml:space="preserve"> </w:t>
            </w:r>
            <w:r>
              <w:rPr>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1119" w:type="dxa"/>
            <w:vMerge w:val="restart"/>
            <w:tcBorders>
              <w:bottom w:val="nil"/>
            </w:tcBorders>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65"/>
              <w:ind w:right="13"/>
              <w:jc w:val="right"/>
            </w:pPr>
            <w:r>
              <w:rPr>
                <w:spacing w:val="-3"/>
              </w:rPr>
              <w:t>2.2.2（2）</w:t>
            </w:r>
          </w:p>
        </w:tc>
        <w:tc>
          <w:tcPr>
            <w:tcW w:w="1327"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65" w:line="274" w:lineRule="auto"/>
              <w:ind w:left="230" w:right="237" w:firstLine="20"/>
            </w:pPr>
            <w:r>
              <w:rPr>
                <w:spacing w:val="6"/>
              </w:rPr>
              <w:t>主要人员</w:t>
            </w:r>
            <w:r>
              <w:rPr>
                <w:spacing w:val="2"/>
              </w:rPr>
              <w:t xml:space="preserve"> </w:t>
            </w:r>
            <w:r>
              <w:rPr>
                <w:spacing w:val="-2"/>
              </w:rPr>
              <w:t>（25</w:t>
            </w:r>
            <w:r>
              <w:rPr>
                <w:spacing w:val="-37"/>
              </w:rPr>
              <w:t xml:space="preserve"> </w:t>
            </w:r>
            <w:r>
              <w:rPr>
                <w:spacing w:val="-2"/>
              </w:rPr>
              <w:t>分）</w:t>
            </w:r>
          </w:p>
        </w:tc>
        <w:tc>
          <w:tcPr>
            <w:tcW w:w="6386" w:type="dxa"/>
            <w:gridSpan w:val="2"/>
            <w:vAlign w:val="top"/>
          </w:tcPr>
          <w:p>
            <w:pPr>
              <w:pStyle w:val="6"/>
              <w:spacing w:before="33" w:line="228" w:lineRule="auto"/>
              <w:ind w:left="46"/>
            </w:pPr>
            <w:r>
              <w:rPr>
                <w:spacing w:val="4"/>
              </w:rPr>
              <w:t>1.项目经理（15</w:t>
            </w:r>
            <w:r>
              <w:rPr>
                <w:spacing w:val="-38"/>
              </w:rPr>
              <w:t xml:space="preserve"> </w:t>
            </w:r>
            <w:r>
              <w:rPr>
                <w:spacing w:val="4"/>
              </w:rPr>
              <w:t>分）</w:t>
            </w:r>
          </w:p>
          <w:p>
            <w:pPr>
              <w:pStyle w:val="6"/>
              <w:spacing w:before="26" w:line="242" w:lineRule="auto"/>
              <w:ind w:left="29" w:right="103" w:firstLine="212"/>
              <w:jc w:val="both"/>
            </w:pPr>
            <w:r>
              <w:rPr>
                <w:spacing w:val="6"/>
              </w:rPr>
              <w:t>满足资格审查强制性资格条件要求的，得</w:t>
            </w:r>
            <w:r>
              <w:rPr>
                <w:spacing w:val="-35"/>
              </w:rPr>
              <w:t xml:space="preserve"> </w:t>
            </w:r>
            <w:r>
              <w:rPr>
                <w:spacing w:val="6"/>
              </w:rPr>
              <w:t>9</w:t>
            </w:r>
            <w:r>
              <w:rPr>
                <w:spacing w:val="-36"/>
              </w:rPr>
              <w:t xml:space="preserve"> </w:t>
            </w:r>
            <w:r>
              <w:rPr>
                <w:spacing w:val="6"/>
              </w:rPr>
              <w:t>分。近</w:t>
            </w:r>
            <w:r>
              <w:rPr>
                <w:spacing w:val="-35"/>
              </w:rPr>
              <w:t xml:space="preserve"> </w:t>
            </w:r>
            <w:r>
              <w:rPr>
                <w:spacing w:val="6"/>
              </w:rPr>
              <w:t>5</w:t>
            </w:r>
            <w:r>
              <w:rPr>
                <w:spacing w:val="-37"/>
              </w:rPr>
              <w:t xml:space="preserve"> </w:t>
            </w:r>
            <w:r>
              <w:rPr>
                <w:spacing w:val="6"/>
              </w:rPr>
              <w:t>年（指在岗截</w:t>
            </w:r>
            <w:r>
              <w:t xml:space="preserve"> </w:t>
            </w:r>
            <w:r>
              <w:rPr>
                <w:spacing w:val="3"/>
              </w:rPr>
              <w:t>至日期为</w:t>
            </w:r>
            <w:r>
              <w:rPr>
                <w:spacing w:val="-30"/>
              </w:rPr>
              <w:t xml:space="preserve"> </w:t>
            </w:r>
            <w:r>
              <w:rPr>
                <w:spacing w:val="3"/>
              </w:rPr>
              <w:t>2019</w:t>
            </w:r>
            <w:r>
              <w:rPr>
                <w:spacing w:val="-37"/>
              </w:rPr>
              <w:t xml:space="preserve"> </w:t>
            </w:r>
            <w:r>
              <w:rPr>
                <w:spacing w:val="3"/>
              </w:rPr>
              <w:t>年</w:t>
            </w:r>
            <w:r>
              <w:rPr>
                <w:spacing w:val="-21"/>
              </w:rPr>
              <w:t xml:space="preserve"> </w:t>
            </w:r>
            <w:r>
              <w:rPr>
                <w:spacing w:val="3"/>
              </w:rPr>
              <w:t>1</w:t>
            </w:r>
            <w:r>
              <w:rPr>
                <w:spacing w:val="-31"/>
              </w:rPr>
              <w:t xml:space="preserve"> </w:t>
            </w:r>
            <w:r>
              <w:rPr>
                <w:spacing w:val="3"/>
              </w:rPr>
              <w:t>月</w:t>
            </w:r>
            <w:r>
              <w:rPr>
                <w:spacing w:val="-21"/>
              </w:rPr>
              <w:t xml:space="preserve"> </w:t>
            </w:r>
            <w:r>
              <w:rPr>
                <w:spacing w:val="3"/>
              </w:rPr>
              <w:t>1 日至投标文件递交截止日）</w:t>
            </w:r>
            <w:r>
              <w:rPr>
                <w:spacing w:val="-51"/>
              </w:rPr>
              <w:t xml:space="preserve"> </w:t>
            </w:r>
            <w:r>
              <w:rPr>
                <w:spacing w:val="3"/>
              </w:rPr>
              <w:t>内，增加</w:t>
            </w:r>
            <w:r>
              <w:rPr>
                <w:spacing w:val="-21"/>
              </w:rPr>
              <w:t xml:space="preserve"> </w:t>
            </w:r>
            <w:r>
              <w:rPr>
                <w:spacing w:val="3"/>
              </w:rPr>
              <w:t>1</w:t>
            </w:r>
            <w:r>
              <w:rPr>
                <w:spacing w:val="-38"/>
              </w:rPr>
              <w:t xml:space="preserve"> </w:t>
            </w:r>
            <w:r>
              <w:rPr>
                <w:spacing w:val="3"/>
              </w:rPr>
              <w:t>个担</w:t>
            </w:r>
            <w:r>
              <w:t xml:space="preserve"> </w:t>
            </w:r>
            <w:r>
              <w:rPr>
                <w:spacing w:val="8"/>
              </w:rPr>
              <w:t>任过二级及以上公路路面施工项目的项目经理业绩，且工程验收质量</w:t>
            </w:r>
            <w:r>
              <w:rPr>
                <w:spacing w:val="6"/>
              </w:rPr>
              <w:t xml:space="preserve"> </w:t>
            </w:r>
            <w:r>
              <w:rPr>
                <w:spacing w:val="3"/>
              </w:rPr>
              <w:t>合格，加</w:t>
            </w:r>
            <w:r>
              <w:rPr>
                <w:spacing w:val="-34"/>
              </w:rPr>
              <w:t xml:space="preserve"> </w:t>
            </w:r>
            <w:r>
              <w:rPr>
                <w:spacing w:val="3"/>
              </w:rPr>
              <w:t>6</w:t>
            </w:r>
            <w:r>
              <w:rPr>
                <w:spacing w:val="-36"/>
              </w:rPr>
              <w:t xml:space="preserve"> </w:t>
            </w:r>
            <w:r>
              <w:rPr>
                <w:spacing w:val="3"/>
              </w:rPr>
              <w:t>分。</w:t>
            </w:r>
          </w:p>
        </w:tc>
        <w:tc>
          <w:tcPr>
            <w:tcW w:w="1358" w:type="dxa"/>
            <w:vAlign w:val="top"/>
          </w:tcPr>
          <w:p>
            <w:pPr>
              <w:spacing w:line="319" w:lineRule="auto"/>
              <w:rPr>
                <w:rFonts w:ascii="Arial"/>
                <w:sz w:val="21"/>
              </w:rPr>
            </w:pPr>
          </w:p>
          <w:p>
            <w:pPr>
              <w:spacing w:line="320" w:lineRule="auto"/>
              <w:rPr>
                <w:rFonts w:ascii="Arial"/>
                <w:sz w:val="21"/>
              </w:rPr>
            </w:pPr>
          </w:p>
          <w:p>
            <w:pPr>
              <w:pStyle w:val="6"/>
              <w:spacing w:before="65" w:line="228" w:lineRule="auto"/>
              <w:ind w:left="464"/>
            </w:pPr>
            <w:r>
              <w:rPr>
                <w:spacing w:val="-5"/>
              </w:rPr>
              <w:t>15</w:t>
            </w:r>
            <w:r>
              <w:rPr>
                <w:spacing w:val="-38"/>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1119" w:type="dxa"/>
            <w:vMerge w:val="continue"/>
            <w:tcBorders>
              <w:top w:val="nil"/>
            </w:tcBorders>
            <w:vAlign w:val="top"/>
          </w:tcPr>
          <w:p>
            <w:pPr>
              <w:rPr>
                <w:rFonts w:ascii="Arial"/>
                <w:sz w:val="21"/>
              </w:rPr>
            </w:pPr>
          </w:p>
        </w:tc>
        <w:tc>
          <w:tcPr>
            <w:tcW w:w="1327" w:type="dxa"/>
            <w:vMerge w:val="continue"/>
            <w:tcBorders>
              <w:top w:val="nil"/>
            </w:tcBorders>
            <w:vAlign w:val="top"/>
          </w:tcPr>
          <w:p>
            <w:pPr>
              <w:rPr>
                <w:rFonts w:ascii="Arial"/>
                <w:sz w:val="21"/>
              </w:rPr>
            </w:pPr>
          </w:p>
        </w:tc>
        <w:tc>
          <w:tcPr>
            <w:tcW w:w="6386" w:type="dxa"/>
            <w:gridSpan w:val="2"/>
            <w:vAlign w:val="top"/>
          </w:tcPr>
          <w:p>
            <w:pPr>
              <w:pStyle w:val="6"/>
              <w:spacing w:before="35" w:line="228" w:lineRule="auto"/>
              <w:ind w:left="33"/>
            </w:pPr>
            <w:r>
              <w:rPr>
                <w:spacing w:val="5"/>
              </w:rPr>
              <w:t>2.项目总工（10</w:t>
            </w:r>
            <w:r>
              <w:rPr>
                <w:spacing w:val="-37"/>
              </w:rPr>
              <w:t xml:space="preserve"> </w:t>
            </w:r>
            <w:r>
              <w:rPr>
                <w:spacing w:val="5"/>
              </w:rPr>
              <w:t>分）</w:t>
            </w:r>
          </w:p>
          <w:p>
            <w:pPr>
              <w:pStyle w:val="6"/>
              <w:spacing w:before="23" w:line="242" w:lineRule="auto"/>
              <w:ind w:left="29" w:right="49" w:firstLine="212"/>
              <w:jc w:val="both"/>
            </w:pPr>
            <w:r>
              <w:rPr>
                <w:spacing w:val="6"/>
              </w:rPr>
              <w:t>满足资格审查强制性资格条件要求的，得</w:t>
            </w:r>
            <w:r>
              <w:rPr>
                <w:spacing w:val="-35"/>
              </w:rPr>
              <w:t xml:space="preserve"> </w:t>
            </w:r>
            <w:r>
              <w:rPr>
                <w:spacing w:val="6"/>
              </w:rPr>
              <w:t>6</w:t>
            </w:r>
            <w:r>
              <w:rPr>
                <w:spacing w:val="-36"/>
              </w:rPr>
              <w:t xml:space="preserve"> </w:t>
            </w:r>
            <w:r>
              <w:rPr>
                <w:spacing w:val="6"/>
              </w:rPr>
              <w:t>分。近</w:t>
            </w:r>
            <w:r>
              <w:rPr>
                <w:spacing w:val="-35"/>
              </w:rPr>
              <w:t xml:space="preserve"> </w:t>
            </w:r>
            <w:r>
              <w:rPr>
                <w:spacing w:val="6"/>
              </w:rPr>
              <w:t>5</w:t>
            </w:r>
            <w:r>
              <w:rPr>
                <w:spacing w:val="-37"/>
              </w:rPr>
              <w:t xml:space="preserve"> </w:t>
            </w:r>
            <w:r>
              <w:rPr>
                <w:spacing w:val="6"/>
              </w:rPr>
              <w:t>年（指在岗截</w:t>
            </w:r>
            <w:r>
              <w:t xml:space="preserve"> </w:t>
            </w:r>
            <w:r>
              <w:rPr>
                <w:spacing w:val="3"/>
              </w:rPr>
              <w:t>至日期为</w:t>
            </w:r>
            <w:r>
              <w:rPr>
                <w:spacing w:val="-30"/>
              </w:rPr>
              <w:t xml:space="preserve"> </w:t>
            </w:r>
            <w:r>
              <w:rPr>
                <w:spacing w:val="3"/>
              </w:rPr>
              <w:t>2019</w:t>
            </w:r>
            <w:r>
              <w:rPr>
                <w:spacing w:val="-37"/>
              </w:rPr>
              <w:t xml:space="preserve"> </w:t>
            </w:r>
            <w:r>
              <w:rPr>
                <w:spacing w:val="3"/>
              </w:rPr>
              <w:t>年</w:t>
            </w:r>
            <w:r>
              <w:rPr>
                <w:spacing w:val="-21"/>
              </w:rPr>
              <w:t xml:space="preserve"> </w:t>
            </w:r>
            <w:r>
              <w:rPr>
                <w:spacing w:val="3"/>
              </w:rPr>
              <w:t>1</w:t>
            </w:r>
            <w:r>
              <w:rPr>
                <w:spacing w:val="-31"/>
              </w:rPr>
              <w:t xml:space="preserve"> </w:t>
            </w:r>
            <w:r>
              <w:rPr>
                <w:spacing w:val="3"/>
              </w:rPr>
              <w:t>月</w:t>
            </w:r>
            <w:r>
              <w:rPr>
                <w:spacing w:val="-21"/>
              </w:rPr>
              <w:t xml:space="preserve"> </w:t>
            </w:r>
            <w:r>
              <w:rPr>
                <w:spacing w:val="3"/>
              </w:rPr>
              <w:t>1 日至投标文件递交截止日）</w:t>
            </w:r>
            <w:r>
              <w:rPr>
                <w:spacing w:val="-51"/>
              </w:rPr>
              <w:t xml:space="preserve"> </w:t>
            </w:r>
            <w:r>
              <w:rPr>
                <w:spacing w:val="3"/>
              </w:rPr>
              <w:t>内，增加</w:t>
            </w:r>
            <w:r>
              <w:rPr>
                <w:spacing w:val="-21"/>
              </w:rPr>
              <w:t xml:space="preserve"> </w:t>
            </w:r>
            <w:r>
              <w:rPr>
                <w:spacing w:val="3"/>
              </w:rPr>
              <w:t>1</w:t>
            </w:r>
            <w:r>
              <w:rPr>
                <w:spacing w:val="-38"/>
              </w:rPr>
              <w:t xml:space="preserve"> </w:t>
            </w:r>
            <w:r>
              <w:rPr>
                <w:spacing w:val="3"/>
              </w:rPr>
              <w:t>个担</w:t>
            </w:r>
            <w:r>
              <w:t xml:space="preserve"> </w:t>
            </w:r>
            <w:r>
              <w:rPr>
                <w:spacing w:val="3"/>
              </w:rPr>
              <w:t>任过二级及以上公路路面施工项目的项目总工（或技术负责人）业绩，</w:t>
            </w:r>
            <w:r>
              <w:rPr>
                <w:spacing w:val="7"/>
              </w:rPr>
              <w:t xml:space="preserve"> </w:t>
            </w:r>
            <w:r>
              <w:rPr>
                <w:spacing w:val="6"/>
              </w:rPr>
              <w:t>且工程验收质量合格，加</w:t>
            </w:r>
            <w:r>
              <w:rPr>
                <w:spacing w:val="-28"/>
              </w:rPr>
              <w:t xml:space="preserve"> </w:t>
            </w:r>
            <w:r>
              <w:rPr>
                <w:spacing w:val="6"/>
              </w:rPr>
              <w:t>4</w:t>
            </w:r>
            <w:r>
              <w:rPr>
                <w:spacing w:val="-36"/>
              </w:rPr>
              <w:t xml:space="preserve"> </w:t>
            </w:r>
            <w:r>
              <w:rPr>
                <w:spacing w:val="6"/>
              </w:rPr>
              <w:t>分。</w:t>
            </w:r>
          </w:p>
        </w:tc>
        <w:tc>
          <w:tcPr>
            <w:tcW w:w="1358" w:type="dxa"/>
            <w:vAlign w:val="top"/>
          </w:tcPr>
          <w:p>
            <w:pPr>
              <w:spacing w:line="319" w:lineRule="auto"/>
              <w:rPr>
                <w:rFonts w:ascii="Arial"/>
                <w:sz w:val="21"/>
              </w:rPr>
            </w:pPr>
          </w:p>
          <w:p>
            <w:pPr>
              <w:spacing w:line="319" w:lineRule="auto"/>
              <w:rPr>
                <w:rFonts w:ascii="Arial"/>
                <w:sz w:val="21"/>
              </w:rPr>
            </w:pPr>
          </w:p>
          <w:p>
            <w:pPr>
              <w:pStyle w:val="6"/>
              <w:spacing w:before="65" w:line="228" w:lineRule="auto"/>
              <w:ind w:left="464"/>
            </w:pPr>
            <w:r>
              <w:rPr>
                <w:spacing w:val="-5"/>
              </w:rPr>
              <w:t>10</w:t>
            </w:r>
            <w:r>
              <w:rPr>
                <w:spacing w:val="-38"/>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1119" w:type="dxa"/>
            <w:vAlign w:val="top"/>
          </w:tcPr>
          <w:p>
            <w:pPr>
              <w:spacing w:line="306" w:lineRule="auto"/>
              <w:rPr>
                <w:rFonts w:ascii="Arial"/>
                <w:sz w:val="21"/>
              </w:rPr>
            </w:pPr>
          </w:p>
          <w:p>
            <w:pPr>
              <w:spacing w:line="306" w:lineRule="auto"/>
              <w:rPr>
                <w:rFonts w:ascii="Arial"/>
                <w:sz w:val="21"/>
              </w:rPr>
            </w:pPr>
          </w:p>
          <w:p>
            <w:pPr>
              <w:pStyle w:val="6"/>
              <w:spacing w:before="65"/>
              <w:ind w:right="13"/>
              <w:jc w:val="right"/>
            </w:pPr>
            <w:r>
              <w:rPr>
                <w:spacing w:val="-3"/>
              </w:rPr>
              <w:t>2.2.2（3）</w:t>
            </w:r>
          </w:p>
        </w:tc>
        <w:tc>
          <w:tcPr>
            <w:tcW w:w="1327" w:type="dxa"/>
            <w:vAlign w:val="top"/>
          </w:tcPr>
          <w:p>
            <w:pPr>
              <w:spacing w:line="303" w:lineRule="auto"/>
              <w:rPr>
                <w:rFonts w:ascii="Arial"/>
                <w:sz w:val="21"/>
              </w:rPr>
            </w:pPr>
          </w:p>
          <w:p>
            <w:pPr>
              <w:pStyle w:val="6"/>
              <w:spacing w:before="65" w:line="278" w:lineRule="auto"/>
              <w:ind w:left="229" w:right="137" w:hanging="83"/>
            </w:pPr>
            <w:r>
              <w:rPr>
                <w:spacing w:val="7"/>
              </w:rPr>
              <w:t>企业业绩及</w:t>
            </w:r>
            <w:r>
              <w:rPr>
                <w:spacing w:val="1"/>
              </w:rPr>
              <w:t xml:space="preserve"> </w:t>
            </w:r>
            <w:r>
              <w:rPr>
                <w:spacing w:val="12"/>
              </w:rPr>
              <w:t>技术能力</w:t>
            </w:r>
            <w:r>
              <w:t xml:space="preserve">  （15</w:t>
            </w:r>
            <w:r>
              <w:rPr>
                <w:spacing w:val="-38"/>
              </w:rPr>
              <w:t xml:space="preserve"> </w:t>
            </w:r>
            <w:r>
              <w:t>分）</w:t>
            </w:r>
          </w:p>
        </w:tc>
        <w:tc>
          <w:tcPr>
            <w:tcW w:w="6386" w:type="dxa"/>
            <w:gridSpan w:val="2"/>
            <w:vAlign w:val="top"/>
          </w:tcPr>
          <w:p>
            <w:pPr>
              <w:pStyle w:val="6"/>
              <w:spacing w:before="56" w:line="228" w:lineRule="auto"/>
              <w:ind w:left="122"/>
            </w:pPr>
            <w:r>
              <w:rPr>
                <w:spacing w:val="7"/>
              </w:rPr>
              <w:t>（1）满足资格审查强制性资格条件要求的，得</w:t>
            </w:r>
            <w:r>
              <w:rPr>
                <w:spacing w:val="-27"/>
              </w:rPr>
              <w:t xml:space="preserve"> </w:t>
            </w:r>
            <w:r>
              <w:rPr>
                <w:spacing w:val="7"/>
              </w:rPr>
              <w:t>9</w:t>
            </w:r>
            <w:r>
              <w:rPr>
                <w:spacing w:val="-37"/>
              </w:rPr>
              <w:t xml:space="preserve"> </w:t>
            </w:r>
            <w:r>
              <w:rPr>
                <w:spacing w:val="7"/>
              </w:rPr>
              <w:t>分。</w:t>
            </w:r>
          </w:p>
          <w:p>
            <w:pPr>
              <w:pStyle w:val="6"/>
              <w:spacing w:before="64" w:line="273" w:lineRule="auto"/>
              <w:ind w:left="111" w:right="33" w:firstLine="10"/>
            </w:pPr>
            <w:r>
              <w:rPr>
                <w:spacing w:val="5"/>
              </w:rPr>
              <w:t>（2）近</w:t>
            </w:r>
            <w:r>
              <w:rPr>
                <w:spacing w:val="-30"/>
              </w:rPr>
              <w:t xml:space="preserve"> </w:t>
            </w:r>
            <w:r>
              <w:rPr>
                <w:rFonts w:ascii="Times New Roman" w:hAnsi="Times New Roman" w:eastAsia="Times New Roman" w:cs="Times New Roman"/>
                <w:spacing w:val="5"/>
              </w:rPr>
              <w:t>5</w:t>
            </w:r>
            <w:r>
              <w:rPr>
                <w:rFonts w:ascii="Times New Roman" w:hAnsi="Times New Roman" w:eastAsia="Times New Roman" w:cs="Times New Roman"/>
                <w:spacing w:val="16"/>
              </w:rPr>
              <w:t xml:space="preserve"> </w:t>
            </w:r>
            <w:r>
              <w:rPr>
                <w:spacing w:val="5"/>
              </w:rPr>
              <w:t>年（指交工验收时间为</w:t>
            </w:r>
            <w:r>
              <w:rPr>
                <w:spacing w:val="-36"/>
              </w:rPr>
              <w:t xml:space="preserve"> </w:t>
            </w:r>
            <w:r>
              <w:rPr>
                <w:rFonts w:ascii="Times New Roman" w:hAnsi="Times New Roman" w:eastAsia="Times New Roman" w:cs="Times New Roman"/>
                <w:spacing w:val="5"/>
              </w:rPr>
              <w:t xml:space="preserve">2019 </w:t>
            </w:r>
            <w:r>
              <w:rPr>
                <w:spacing w:val="5"/>
              </w:rPr>
              <w:t>年</w:t>
            </w:r>
            <w:r>
              <w:rPr>
                <w:spacing w:val="-18"/>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9"/>
                <w:w w:val="101"/>
              </w:rPr>
              <w:t xml:space="preserve"> </w:t>
            </w:r>
            <w:r>
              <w:rPr>
                <w:spacing w:val="5"/>
              </w:rPr>
              <w:t>月</w:t>
            </w:r>
            <w:r>
              <w:rPr>
                <w:spacing w:val="-18"/>
              </w:rPr>
              <w:t xml:space="preserve"> </w:t>
            </w:r>
            <w:r>
              <w:rPr>
                <w:rFonts w:ascii="Times New Roman" w:hAnsi="Times New Roman" w:eastAsia="Times New Roman" w:cs="Times New Roman"/>
                <w:spacing w:val="5"/>
              </w:rPr>
              <w:t xml:space="preserve">1  </w:t>
            </w:r>
            <w:r>
              <w:rPr>
                <w:spacing w:val="5"/>
              </w:rPr>
              <w:t>日至投标文件递交</w:t>
            </w:r>
            <w:r>
              <w:t xml:space="preserve"> </w:t>
            </w:r>
            <w:r>
              <w:rPr>
                <w:spacing w:val="2"/>
              </w:rPr>
              <w:t>截止日）内，每增加</w:t>
            </w:r>
            <w:r>
              <w:rPr>
                <w:spacing w:val="-21"/>
              </w:rPr>
              <w:t xml:space="preserve"> </w:t>
            </w:r>
            <w:r>
              <w:rPr>
                <w:spacing w:val="2"/>
              </w:rPr>
              <w:t>1</w:t>
            </w:r>
            <w:r>
              <w:rPr>
                <w:spacing w:val="-38"/>
              </w:rPr>
              <w:t xml:space="preserve"> </w:t>
            </w:r>
            <w:r>
              <w:rPr>
                <w:spacing w:val="2"/>
              </w:rPr>
              <w:t>个合同金额在</w:t>
            </w:r>
            <w:r>
              <w:rPr>
                <w:spacing w:val="-35"/>
              </w:rPr>
              <w:t xml:space="preserve"> </w:t>
            </w:r>
            <w:r>
              <w:rPr>
                <w:spacing w:val="2"/>
              </w:rPr>
              <w:t>2000</w:t>
            </w:r>
            <w:r>
              <w:rPr>
                <w:spacing w:val="-35"/>
              </w:rPr>
              <w:t xml:space="preserve"> </w:t>
            </w:r>
            <w:r>
              <w:rPr>
                <w:spacing w:val="2"/>
              </w:rPr>
              <w:t>万元以上的二级公路新建、</w:t>
            </w:r>
            <w:r>
              <w:t xml:space="preserve"> </w:t>
            </w:r>
            <w:r>
              <w:rPr>
                <w:spacing w:val="12"/>
              </w:rPr>
              <w:t>改扩建或修复性养护（大、中修）工程施工项目，且工程验收质量</w:t>
            </w:r>
            <w:r>
              <w:rPr>
                <w:spacing w:val="16"/>
              </w:rPr>
              <w:t xml:space="preserve"> </w:t>
            </w:r>
            <w:r>
              <w:rPr>
                <w:spacing w:val="4"/>
              </w:rPr>
              <w:t>合格，加</w:t>
            </w:r>
            <w:r>
              <w:rPr>
                <w:spacing w:val="-20"/>
              </w:rPr>
              <w:t xml:space="preserve"> </w:t>
            </w:r>
            <w:r>
              <w:rPr>
                <w:spacing w:val="4"/>
              </w:rPr>
              <w:t>3</w:t>
            </w:r>
            <w:r>
              <w:rPr>
                <w:spacing w:val="-36"/>
              </w:rPr>
              <w:t xml:space="preserve"> </w:t>
            </w:r>
            <w:r>
              <w:rPr>
                <w:spacing w:val="4"/>
              </w:rPr>
              <w:t>分；本项最多加</w:t>
            </w:r>
            <w:r>
              <w:rPr>
                <w:spacing w:val="-37"/>
              </w:rPr>
              <w:t xml:space="preserve"> </w:t>
            </w:r>
            <w:r>
              <w:rPr>
                <w:spacing w:val="4"/>
              </w:rPr>
              <w:t>6</w:t>
            </w:r>
            <w:r>
              <w:rPr>
                <w:spacing w:val="-36"/>
              </w:rPr>
              <w:t xml:space="preserve"> </w:t>
            </w:r>
            <w:r>
              <w:rPr>
                <w:spacing w:val="4"/>
              </w:rPr>
              <w:t>分。</w:t>
            </w:r>
          </w:p>
        </w:tc>
        <w:tc>
          <w:tcPr>
            <w:tcW w:w="1358" w:type="dxa"/>
            <w:vAlign w:val="top"/>
          </w:tcPr>
          <w:p>
            <w:pPr>
              <w:spacing w:line="306" w:lineRule="auto"/>
              <w:rPr>
                <w:rFonts w:ascii="Arial"/>
                <w:sz w:val="21"/>
              </w:rPr>
            </w:pPr>
          </w:p>
          <w:p>
            <w:pPr>
              <w:spacing w:line="306" w:lineRule="auto"/>
              <w:rPr>
                <w:rFonts w:ascii="Arial"/>
                <w:sz w:val="21"/>
              </w:rPr>
            </w:pPr>
          </w:p>
          <w:p>
            <w:pPr>
              <w:pStyle w:val="6"/>
              <w:spacing w:before="65" w:line="228" w:lineRule="auto"/>
              <w:ind w:left="464"/>
            </w:pPr>
            <w:r>
              <w:rPr>
                <w:spacing w:val="-5"/>
              </w:rPr>
              <w:t>15</w:t>
            </w:r>
            <w:r>
              <w:rPr>
                <w:spacing w:val="-38"/>
              </w:rPr>
              <w:t xml:space="preserve"> </w:t>
            </w:r>
            <w:r>
              <w:rPr>
                <w:spacing w:val="-5"/>
              </w:rPr>
              <w:t>分</w:t>
            </w:r>
          </w:p>
        </w:tc>
      </w:tr>
    </w:tbl>
    <w:p>
      <w:pPr>
        <w:rPr>
          <w:rFonts w:ascii="Arial"/>
          <w:sz w:val="21"/>
        </w:rPr>
      </w:pPr>
    </w:p>
    <w:p>
      <w:pPr>
        <w:rPr>
          <w:rFonts w:ascii="Arial" w:hAnsi="Arial" w:eastAsia="Arial" w:cs="Arial"/>
          <w:sz w:val="21"/>
          <w:szCs w:val="21"/>
        </w:rPr>
        <w:sectPr>
          <w:headerReference r:id="rId6" w:type="default"/>
          <w:pgSz w:w="11906" w:h="16839"/>
          <w:pgMar w:top="1183" w:right="855" w:bottom="0" w:left="855" w:header="866" w:footer="0" w:gutter="0"/>
          <w:cols w:space="720" w:num="1"/>
        </w:sectPr>
      </w:pPr>
    </w:p>
    <w:p>
      <w:pPr>
        <w:spacing w:before="15"/>
      </w:pPr>
    </w:p>
    <w:tbl>
      <w:tblPr>
        <w:tblStyle w:val="5"/>
        <w:tblW w:w="101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9"/>
        <w:gridCol w:w="1327"/>
        <w:gridCol w:w="6386"/>
        <w:gridCol w:w="13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1" w:hRule="atLeast"/>
        </w:trPr>
        <w:tc>
          <w:tcPr>
            <w:tcW w:w="1119"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ind w:right="13"/>
              <w:jc w:val="right"/>
            </w:pPr>
            <w:r>
              <w:rPr>
                <w:spacing w:val="-3"/>
              </w:rPr>
              <w:t>2.2.2（4）</w:t>
            </w:r>
          </w:p>
        </w:tc>
        <w:tc>
          <w:tcPr>
            <w:tcW w:w="1327"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65" w:line="274" w:lineRule="auto"/>
              <w:ind w:left="230" w:right="237" w:firstLine="22"/>
            </w:pPr>
            <w:r>
              <w:rPr>
                <w:spacing w:val="6"/>
              </w:rPr>
              <w:t>履约信誉</w:t>
            </w:r>
            <w:r>
              <w:rPr>
                <w:spacing w:val="1"/>
              </w:rPr>
              <w:t xml:space="preserve"> </w:t>
            </w:r>
            <w:r>
              <w:rPr>
                <w:spacing w:val="-2"/>
              </w:rPr>
              <w:t>（20</w:t>
            </w:r>
            <w:r>
              <w:rPr>
                <w:spacing w:val="-37"/>
              </w:rPr>
              <w:t xml:space="preserve"> </w:t>
            </w:r>
            <w:r>
              <w:rPr>
                <w:spacing w:val="-2"/>
              </w:rPr>
              <w:t>分）</w:t>
            </w:r>
          </w:p>
        </w:tc>
        <w:tc>
          <w:tcPr>
            <w:tcW w:w="6386" w:type="dxa"/>
            <w:vAlign w:val="top"/>
          </w:tcPr>
          <w:p>
            <w:pPr>
              <w:pStyle w:val="6"/>
              <w:spacing w:before="266" w:line="285" w:lineRule="auto"/>
              <w:ind w:left="111" w:right="103"/>
              <w:jc w:val="both"/>
            </w:pPr>
            <w:r>
              <w:rPr>
                <w:spacing w:val="12"/>
              </w:rPr>
              <w:t>根据投标人上两年度（以最新公布为准）在省级及以上交通运输主</w:t>
            </w:r>
            <w:r>
              <w:rPr>
                <w:spacing w:val="15"/>
              </w:rPr>
              <w:t xml:space="preserve"> </w:t>
            </w:r>
            <w:r>
              <w:rPr>
                <w:spacing w:val="10"/>
              </w:rPr>
              <w:t>管部门发布的施工企业信用评价结果（由相同部门公布）</w:t>
            </w:r>
            <w:r>
              <w:rPr>
                <w:spacing w:val="9"/>
              </w:rPr>
              <w:t>被评为</w:t>
            </w:r>
            <w:r>
              <w:rPr>
                <w:spacing w:val="-43"/>
              </w:rPr>
              <w:t xml:space="preserve"> </w:t>
            </w:r>
            <w:r>
              <w:t xml:space="preserve">AA </w:t>
            </w:r>
            <w:r>
              <w:rPr>
                <w:spacing w:val="5"/>
              </w:rPr>
              <w:t>的得</w:t>
            </w:r>
            <w:r>
              <w:rPr>
                <w:spacing w:val="-17"/>
              </w:rPr>
              <w:t xml:space="preserve"> </w:t>
            </w:r>
            <w:r>
              <w:rPr>
                <w:spacing w:val="5"/>
              </w:rPr>
              <w:t>20</w:t>
            </w:r>
            <w:r>
              <w:rPr>
                <w:spacing w:val="-38"/>
              </w:rPr>
              <w:t xml:space="preserve"> </w:t>
            </w:r>
            <w:r>
              <w:rPr>
                <w:spacing w:val="5"/>
              </w:rPr>
              <w:t>分；上一年度（以最新公布为准）被评为</w:t>
            </w:r>
            <w:r>
              <w:rPr>
                <w:spacing w:val="-46"/>
              </w:rPr>
              <w:t xml:space="preserve"> </w:t>
            </w:r>
            <w:r>
              <w:t>AA</w:t>
            </w:r>
            <w:r>
              <w:rPr>
                <w:spacing w:val="-21"/>
              </w:rPr>
              <w:t xml:space="preserve"> </w:t>
            </w:r>
            <w:r>
              <w:rPr>
                <w:spacing w:val="5"/>
              </w:rPr>
              <w:t>的得</w:t>
            </w:r>
            <w:r>
              <w:rPr>
                <w:spacing w:val="-21"/>
              </w:rPr>
              <w:t xml:space="preserve"> </w:t>
            </w:r>
            <w:r>
              <w:rPr>
                <w:spacing w:val="5"/>
              </w:rPr>
              <w:t>18</w:t>
            </w:r>
            <w:r>
              <w:rPr>
                <w:spacing w:val="-38"/>
              </w:rPr>
              <w:t xml:space="preserve"> </w:t>
            </w:r>
            <w:r>
              <w:rPr>
                <w:spacing w:val="5"/>
              </w:rPr>
              <w:t>分、被</w:t>
            </w:r>
            <w:r>
              <w:t xml:space="preserve"> </w:t>
            </w:r>
            <w:r>
              <w:rPr>
                <w:spacing w:val="4"/>
              </w:rPr>
              <w:t>评为</w:t>
            </w:r>
            <w:r>
              <w:rPr>
                <w:spacing w:val="-43"/>
              </w:rPr>
              <w:t xml:space="preserve"> </w:t>
            </w:r>
            <w:r>
              <w:rPr>
                <w:spacing w:val="4"/>
              </w:rPr>
              <w:t>A</w:t>
            </w:r>
            <w:r>
              <w:rPr>
                <w:spacing w:val="-19"/>
              </w:rPr>
              <w:t xml:space="preserve"> </w:t>
            </w:r>
            <w:r>
              <w:rPr>
                <w:spacing w:val="4"/>
              </w:rPr>
              <w:t>的得</w:t>
            </w:r>
            <w:r>
              <w:rPr>
                <w:spacing w:val="-19"/>
              </w:rPr>
              <w:t xml:space="preserve"> </w:t>
            </w:r>
            <w:r>
              <w:rPr>
                <w:spacing w:val="4"/>
              </w:rPr>
              <w:t>15</w:t>
            </w:r>
            <w:r>
              <w:rPr>
                <w:spacing w:val="-35"/>
              </w:rPr>
              <w:t xml:space="preserve"> </w:t>
            </w:r>
            <w:r>
              <w:rPr>
                <w:spacing w:val="4"/>
              </w:rPr>
              <w:t>分、被评为</w:t>
            </w:r>
            <w:r>
              <w:rPr>
                <w:spacing w:val="-39"/>
              </w:rPr>
              <w:t xml:space="preserve"> </w:t>
            </w:r>
            <w:r>
              <w:rPr>
                <w:spacing w:val="4"/>
              </w:rPr>
              <w:t>B</w:t>
            </w:r>
            <w:r>
              <w:rPr>
                <w:spacing w:val="-19"/>
              </w:rPr>
              <w:t xml:space="preserve"> </w:t>
            </w:r>
            <w:r>
              <w:rPr>
                <w:spacing w:val="4"/>
              </w:rPr>
              <w:t>的得</w:t>
            </w:r>
            <w:r>
              <w:rPr>
                <w:spacing w:val="-19"/>
              </w:rPr>
              <w:t xml:space="preserve"> </w:t>
            </w:r>
            <w:r>
              <w:rPr>
                <w:spacing w:val="4"/>
              </w:rPr>
              <w:t>10</w:t>
            </w:r>
            <w:r>
              <w:rPr>
                <w:spacing w:val="-35"/>
              </w:rPr>
              <w:t xml:space="preserve"> </w:t>
            </w:r>
            <w:r>
              <w:rPr>
                <w:spacing w:val="4"/>
              </w:rPr>
              <w:t>分、被</w:t>
            </w:r>
            <w:r>
              <w:rPr>
                <w:spacing w:val="3"/>
              </w:rPr>
              <w:t>评为</w:t>
            </w:r>
            <w:r>
              <w:rPr>
                <w:spacing w:val="-36"/>
              </w:rPr>
              <w:t xml:space="preserve"> </w:t>
            </w:r>
            <w:r>
              <w:rPr>
                <w:spacing w:val="3"/>
              </w:rPr>
              <w:t>C</w:t>
            </w:r>
            <w:r>
              <w:rPr>
                <w:spacing w:val="-19"/>
              </w:rPr>
              <w:t xml:space="preserve"> </w:t>
            </w:r>
            <w:r>
              <w:rPr>
                <w:spacing w:val="3"/>
              </w:rPr>
              <w:t>的得</w:t>
            </w:r>
            <w:r>
              <w:rPr>
                <w:spacing w:val="-32"/>
              </w:rPr>
              <w:t xml:space="preserve"> </w:t>
            </w:r>
            <w:r>
              <w:rPr>
                <w:spacing w:val="3"/>
              </w:rPr>
              <w:t>5</w:t>
            </w:r>
            <w:r>
              <w:rPr>
                <w:spacing w:val="-33"/>
              </w:rPr>
              <w:t xml:space="preserve"> </w:t>
            </w:r>
            <w:r>
              <w:rPr>
                <w:spacing w:val="3"/>
              </w:rPr>
              <w:t>分。被评</w:t>
            </w:r>
            <w:r>
              <w:t xml:space="preserve"> </w:t>
            </w:r>
            <w:r>
              <w:rPr>
                <w:spacing w:val="1"/>
              </w:rPr>
              <w:t>为</w:t>
            </w:r>
            <w:r>
              <w:rPr>
                <w:spacing w:val="-25"/>
              </w:rPr>
              <w:t xml:space="preserve"> </w:t>
            </w:r>
            <w:r>
              <w:rPr>
                <w:spacing w:val="1"/>
              </w:rPr>
              <w:t>D</w:t>
            </w:r>
            <w:r>
              <w:rPr>
                <w:spacing w:val="-21"/>
              </w:rPr>
              <w:t xml:space="preserve"> </w:t>
            </w:r>
            <w:r>
              <w:rPr>
                <w:spacing w:val="1"/>
              </w:rPr>
              <w:t>的得</w:t>
            </w:r>
            <w:r>
              <w:rPr>
                <w:spacing w:val="-35"/>
              </w:rPr>
              <w:t xml:space="preserve"> </w:t>
            </w:r>
            <w:r>
              <w:rPr>
                <w:spacing w:val="1"/>
              </w:rPr>
              <w:t>0</w:t>
            </w:r>
            <w:r>
              <w:rPr>
                <w:spacing w:val="-36"/>
              </w:rPr>
              <w:t xml:space="preserve"> </w:t>
            </w:r>
            <w:r>
              <w:rPr>
                <w:spacing w:val="1"/>
              </w:rPr>
              <w:t>分。</w:t>
            </w:r>
            <w:r>
              <w:rPr>
                <w:b/>
                <w:bCs/>
                <w:spacing w:val="1"/>
              </w:rPr>
              <w:t>（企业具备有效的辽宁省公路工程设计和施工企业信</w:t>
            </w:r>
            <w:r>
              <w:t xml:space="preserve"> </w:t>
            </w:r>
            <w:r>
              <w:rPr>
                <w:b/>
                <w:bCs/>
                <w:spacing w:val="8"/>
              </w:rPr>
              <w:t>用评价等级时</w:t>
            </w:r>
            <w:r>
              <w:rPr>
                <w:spacing w:val="8"/>
              </w:rPr>
              <w:t>（辽宁省公路工程设计和施工企业信用评价等级(定期</w:t>
            </w:r>
            <w:r>
              <w:rPr>
                <w:spacing w:val="9"/>
              </w:rPr>
              <w:t xml:space="preserve"> </w:t>
            </w:r>
            <w:r>
              <w:rPr>
                <w:spacing w:val="7"/>
              </w:rPr>
              <w:t>评价)有效期</w:t>
            </w:r>
            <w:r>
              <w:rPr>
                <w:spacing w:val="-11"/>
              </w:rPr>
              <w:t xml:space="preserve"> </w:t>
            </w:r>
            <w:r>
              <w:rPr>
                <w:spacing w:val="7"/>
              </w:rPr>
              <w:t>1</w:t>
            </w:r>
            <w:r>
              <w:rPr>
                <w:spacing w:val="-37"/>
              </w:rPr>
              <w:t xml:space="preserve"> </w:t>
            </w:r>
            <w:r>
              <w:rPr>
                <w:spacing w:val="7"/>
              </w:rPr>
              <w:t>年，有效期结束后未获得新的信用评价等级的，原信</w:t>
            </w:r>
            <w:r>
              <w:t xml:space="preserve"> </w:t>
            </w:r>
            <w:r>
              <w:rPr>
                <w:spacing w:val="5"/>
              </w:rPr>
              <w:t>用评价等级可延续</w:t>
            </w:r>
            <w:r>
              <w:rPr>
                <w:spacing w:val="-21"/>
              </w:rPr>
              <w:t xml:space="preserve"> </w:t>
            </w:r>
            <w:r>
              <w:rPr>
                <w:spacing w:val="5"/>
              </w:rPr>
              <w:t>1</w:t>
            </w:r>
            <w:r>
              <w:rPr>
                <w:spacing w:val="-38"/>
              </w:rPr>
              <w:t xml:space="preserve"> </w:t>
            </w:r>
            <w:r>
              <w:rPr>
                <w:spacing w:val="5"/>
              </w:rPr>
              <w:t>年</w:t>
            </w:r>
            <w:r>
              <w:rPr>
                <w:spacing w:val="-42"/>
              </w:rPr>
              <w:t>）</w:t>
            </w:r>
            <w:r>
              <w:rPr>
                <w:b/>
                <w:bCs/>
                <w:spacing w:val="-42"/>
              </w:rPr>
              <w:t>，</w:t>
            </w:r>
            <w:r>
              <w:rPr>
                <w:b/>
                <w:bCs/>
                <w:spacing w:val="5"/>
              </w:rPr>
              <w:t>投标按其认定；不具备时</w:t>
            </w:r>
            <w:r>
              <w:rPr>
                <w:spacing w:val="5"/>
              </w:rPr>
              <w:t>（延续</w:t>
            </w:r>
            <w:r>
              <w:rPr>
                <w:spacing w:val="-21"/>
              </w:rPr>
              <w:t xml:space="preserve"> </w:t>
            </w:r>
            <w:r>
              <w:rPr>
                <w:spacing w:val="5"/>
              </w:rPr>
              <w:t>1</w:t>
            </w:r>
            <w:r>
              <w:rPr>
                <w:spacing w:val="-37"/>
              </w:rPr>
              <w:t xml:space="preserve"> </w:t>
            </w:r>
            <w:r>
              <w:rPr>
                <w:spacing w:val="5"/>
              </w:rPr>
              <w:t>年后仍</w:t>
            </w:r>
            <w:r>
              <w:t xml:space="preserve"> </w:t>
            </w:r>
            <w:r>
              <w:rPr>
                <w:spacing w:val="14"/>
              </w:rPr>
              <w:t>未获得新的信用评价等级的</w:t>
            </w:r>
            <w:r>
              <w:rPr>
                <w:spacing w:val="-24"/>
              </w:rPr>
              <w:t>）</w:t>
            </w:r>
            <w:r>
              <w:rPr>
                <w:b/>
                <w:bCs/>
                <w:spacing w:val="-24"/>
              </w:rPr>
              <w:t>，</w:t>
            </w:r>
            <w:r>
              <w:rPr>
                <w:b/>
                <w:bCs/>
                <w:spacing w:val="14"/>
              </w:rPr>
              <w:t>投标信用评价等级按照以下原则认</w:t>
            </w:r>
            <w:r>
              <w:rPr>
                <w:spacing w:val="1"/>
              </w:rPr>
              <w:t xml:space="preserve"> </w:t>
            </w:r>
            <w:r>
              <w:rPr>
                <w:b/>
                <w:bCs/>
                <w:spacing w:val="19"/>
              </w:rPr>
              <w:t>定:</w:t>
            </w:r>
          </w:p>
          <w:p>
            <w:pPr>
              <w:pStyle w:val="6"/>
              <w:spacing w:before="30" w:line="274" w:lineRule="auto"/>
              <w:ind w:left="117" w:right="104" w:firstLine="31"/>
            </w:pPr>
            <w:r>
              <w:rPr>
                <w:b/>
                <w:bCs/>
                <w:spacing w:val="9"/>
              </w:rPr>
              <w:t>(一)具有全国综合信用评价等级的，按照全国综合</w:t>
            </w:r>
            <w:r>
              <w:rPr>
                <w:b/>
                <w:bCs/>
                <w:spacing w:val="8"/>
              </w:rPr>
              <w:t>信用评价等级认</w:t>
            </w:r>
            <w:r>
              <w:t xml:space="preserve"> </w:t>
            </w:r>
            <w:r>
              <w:rPr>
                <w:b/>
                <w:bCs/>
                <w:spacing w:val="-5"/>
              </w:rPr>
              <w:t>定。</w:t>
            </w:r>
          </w:p>
          <w:p>
            <w:pPr>
              <w:pStyle w:val="6"/>
              <w:spacing w:before="30" w:line="274" w:lineRule="auto"/>
              <w:ind w:left="115" w:right="104" w:firstLine="33"/>
            </w:pPr>
            <w:r>
              <w:rPr>
                <w:b/>
                <w:bCs/>
                <w:spacing w:val="9"/>
              </w:rPr>
              <w:t>(二)无全国综合信用评价等级的，按照企业注册地</w:t>
            </w:r>
            <w:r>
              <w:rPr>
                <w:b/>
                <w:bCs/>
                <w:spacing w:val="8"/>
              </w:rPr>
              <w:t>省级信用评价等</w:t>
            </w:r>
            <w:r>
              <w:t xml:space="preserve"> </w:t>
            </w:r>
            <w:r>
              <w:rPr>
                <w:b/>
                <w:bCs/>
                <w:spacing w:val="2"/>
              </w:rPr>
              <w:t>级认定。</w:t>
            </w:r>
          </w:p>
          <w:p>
            <w:pPr>
              <w:pStyle w:val="6"/>
              <w:spacing w:before="29" w:line="281" w:lineRule="auto"/>
              <w:ind w:left="102" w:right="103" w:firstLine="46"/>
              <w:jc w:val="both"/>
            </w:pPr>
            <w:r>
              <w:rPr>
                <w:b/>
                <w:bCs/>
                <w:spacing w:val="9"/>
              </w:rPr>
              <w:t>(三)无全国综合信用评价等级和注册地省级信用评</w:t>
            </w:r>
            <w:r>
              <w:rPr>
                <w:b/>
                <w:bCs/>
                <w:spacing w:val="8"/>
              </w:rPr>
              <w:t>价等级的，根据</w:t>
            </w:r>
            <w:r>
              <w:t xml:space="preserve"> </w:t>
            </w:r>
            <w:r>
              <w:rPr>
                <w:b/>
                <w:bCs/>
                <w:spacing w:val="9"/>
              </w:rPr>
              <w:t>“全国公路建设市场监督管理系统</w:t>
            </w:r>
            <w:r>
              <w:rPr>
                <w:spacing w:val="-51"/>
              </w:rPr>
              <w:t xml:space="preserve"> </w:t>
            </w:r>
            <w:r>
              <w:rPr>
                <w:b/>
                <w:bCs/>
                <w:spacing w:val="9"/>
              </w:rPr>
              <w:t>”查询结果，无不良行为记录的</w:t>
            </w:r>
            <w:r>
              <w:t xml:space="preserve"> </w:t>
            </w:r>
            <w:r>
              <w:rPr>
                <w:b/>
                <w:bCs/>
                <w:spacing w:val="9"/>
              </w:rPr>
              <w:t>按</w:t>
            </w:r>
            <w:r>
              <w:rPr>
                <w:spacing w:val="-41"/>
              </w:rPr>
              <w:t xml:space="preserve"> </w:t>
            </w:r>
            <w:r>
              <w:rPr>
                <w:b/>
                <w:bCs/>
                <w:spacing w:val="9"/>
              </w:rPr>
              <w:t>A</w:t>
            </w:r>
            <w:r>
              <w:rPr>
                <w:spacing w:val="-34"/>
              </w:rPr>
              <w:t xml:space="preserve"> </w:t>
            </w:r>
            <w:r>
              <w:rPr>
                <w:b/>
                <w:bCs/>
                <w:spacing w:val="9"/>
              </w:rPr>
              <w:t>级认定，有不良行为记录但三年内无不良行为记录的按</w:t>
            </w:r>
            <w:r>
              <w:rPr>
                <w:spacing w:val="-39"/>
              </w:rPr>
              <w:t xml:space="preserve"> </w:t>
            </w:r>
            <w:r>
              <w:rPr>
                <w:b/>
                <w:bCs/>
                <w:spacing w:val="9"/>
              </w:rPr>
              <w:t>B</w:t>
            </w:r>
            <w:r>
              <w:rPr>
                <w:spacing w:val="-32"/>
              </w:rPr>
              <w:t xml:space="preserve"> </w:t>
            </w:r>
            <w:r>
              <w:rPr>
                <w:b/>
                <w:bCs/>
                <w:spacing w:val="8"/>
              </w:rPr>
              <w:t>级认</w:t>
            </w:r>
            <w:r>
              <w:t xml:space="preserve"> </w:t>
            </w:r>
            <w:r>
              <w:rPr>
                <w:b/>
                <w:bCs/>
                <w:spacing w:val="6"/>
              </w:rPr>
              <w:t>定，三年内有不良行为记录的按</w:t>
            </w:r>
            <w:r>
              <w:rPr>
                <w:spacing w:val="-27"/>
              </w:rPr>
              <w:t xml:space="preserve"> </w:t>
            </w:r>
            <w:r>
              <w:rPr>
                <w:b/>
                <w:bCs/>
                <w:spacing w:val="6"/>
              </w:rPr>
              <w:t>C</w:t>
            </w:r>
            <w:r>
              <w:rPr>
                <w:spacing w:val="-32"/>
              </w:rPr>
              <w:t xml:space="preserve"> </w:t>
            </w:r>
            <w:r>
              <w:rPr>
                <w:b/>
                <w:bCs/>
                <w:spacing w:val="6"/>
              </w:rPr>
              <w:t>级认定。</w:t>
            </w:r>
          </w:p>
          <w:p>
            <w:pPr>
              <w:pStyle w:val="6"/>
              <w:spacing w:before="30" w:line="273" w:lineRule="auto"/>
              <w:ind w:left="117" w:right="104" w:firstLine="31"/>
            </w:pPr>
            <w:r>
              <w:rPr>
                <w:b/>
                <w:bCs/>
                <w:spacing w:val="9"/>
              </w:rPr>
              <w:t>(四)联合体投标的，按照联合体成员企业中信用评</w:t>
            </w:r>
            <w:r>
              <w:rPr>
                <w:b/>
                <w:bCs/>
                <w:spacing w:val="8"/>
              </w:rPr>
              <w:t>价等级最低的认</w:t>
            </w:r>
            <w:r>
              <w:t xml:space="preserve"> </w:t>
            </w:r>
            <w:r>
              <w:rPr>
                <w:b/>
                <w:bCs/>
              </w:rPr>
              <w:t>定联合体信用评价等级。）</w:t>
            </w:r>
          </w:p>
        </w:tc>
        <w:tc>
          <w:tcPr>
            <w:tcW w:w="135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65" w:line="228" w:lineRule="auto"/>
              <w:ind w:left="451"/>
            </w:pPr>
            <w:r>
              <w:rPr>
                <w:spacing w:val="-1"/>
              </w:rPr>
              <w:t>20</w:t>
            </w:r>
            <w:r>
              <w:rPr>
                <w:spacing w:val="-37"/>
              </w:rPr>
              <w:t xml:space="preserve"> </w:t>
            </w:r>
            <w:r>
              <w:rPr>
                <w:spacing w:val="-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190" w:type="dxa"/>
            <w:gridSpan w:val="4"/>
            <w:vAlign w:val="top"/>
          </w:tcPr>
          <w:p>
            <w:pPr>
              <w:pStyle w:val="6"/>
              <w:spacing w:before="239" w:line="228" w:lineRule="auto"/>
              <w:ind w:left="546"/>
            </w:pPr>
            <w:r>
              <w:rPr>
                <w:spacing w:val="8"/>
              </w:rPr>
              <w:t>需要补充的其他内容：无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19" w:type="dxa"/>
            <w:vAlign w:val="top"/>
          </w:tcPr>
          <w:p>
            <w:pPr>
              <w:pStyle w:val="6"/>
              <w:spacing w:before="209" w:line="228" w:lineRule="auto"/>
              <w:ind w:left="251"/>
            </w:pPr>
            <w:r>
              <w:rPr>
                <w:spacing w:val="6"/>
              </w:rPr>
              <w:t>条款号</w:t>
            </w:r>
          </w:p>
        </w:tc>
        <w:tc>
          <w:tcPr>
            <w:tcW w:w="9071" w:type="dxa"/>
            <w:gridSpan w:val="3"/>
            <w:vAlign w:val="top"/>
          </w:tcPr>
          <w:p>
            <w:pPr>
              <w:pStyle w:val="6"/>
              <w:spacing w:before="209" w:line="228" w:lineRule="auto"/>
              <w:ind w:left="4119"/>
            </w:pPr>
            <w:r>
              <w:rPr>
                <w:spacing w:val="6"/>
              </w:rPr>
              <w:t>编列内容</w:t>
            </w:r>
          </w:p>
        </w:tc>
      </w:tr>
    </w:tbl>
    <w:p>
      <w:pPr>
        <w:rPr>
          <w:rFonts w:ascii="Arial"/>
          <w:sz w:val="21"/>
        </w:rPr>
      </w:pPr>
    </w:p>
    <w:p>
      <w:pPr>
        <w:rPr>
          <w:rFonts w:ascii="Arial" w:hAnsi="Arial" w:eastAsia="Arial" w:cs="Arial"/>
          <w:sz w:val="21"/>
          <w:szCs w:val="21"/>
        </w:rPr>
        <w:sectPr>
          <w:pgSz w:w="11906" w:h="16839"/>
          <w:pgMar w:top="1183" w:right="855" w:bottom="0" w:left="855" w:header="866" w:footer="0" w:gutter="0"/>
          <w:cols w:space="720" w:num="1"/>
        </w:sectPr>
      </w:pPr>
    </w:p>
    <w:p>
      <w:pPr>
        <w:spacing w:before="15"/>
      </w:pPr>
    </w:p>
    <w:tbl>
      <w:tblPr>
        <w:tblStyle w:val="5"/>
        <w:tblW w:w="101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9"/>
        <w:gridCol w:w="90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2" w:hRule="atLeast"/>
        </w:trPr>
        <w:tc>
          <w:tcPr>
            <w:tcW w:w="111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5" w:line="189" w:lineRule="auto"/>
              <w:ind w:left="529"/>
            </w:pPr>
            <w:r>
              <w:t>1</w:t>
            </w:r>
          </w:p>
        </w:tc>
        <w:tc>
          <w:tcPr>
            <w:tcW w:w="9071" w:type="dxa"/>
            <w:vAlign w:val="top"/>
          </w:tcPr>
          <w:p>
            <w:pPr>
              <w:pStyle w:val="6"/>
              <w:spacing w:before="132" w:line="228" w:lineRule="auto"/>
              <w:ind w:left="320"/>
            </w:pPr>
            <w:r>
              <w:rPr>
                <w:spacing w:val="7"/>
              </w:rPr>
              <w:t>评标办法</w:t>
            </w:r>
          </w:p>
          <w:p>
            <w:pPr>
              <w:pStyle w:val="6"/>
              <w:spacing w:before="125" w:line="227" w:lineRule="auto"/>
              <w:ind w:left="321"/>
            </w:pPr>
            <w:r>
              <w:rPr>
                <w:spacing w:val="6"/>
              </w:rPr>
              <w:t>本条细化为：</w:t>
            </w:r>
          </w:p>
          <w:p>
            <w:pPr>
              <w:pStyle w:val="6"/>
              <w:spacing w:before="162" w:line="226" w:lineRule="auto"/>
              <w:ind w:left="336"/>
            </w:pPr>
            <w:r>
              <w:rPr>
                <w:spacing w:val="7"/>
              </w:rPr>
              <w:t>1.1</w:t>
            </w:r>
            <w:r>
              <w:rPr>
                <w:spacing w:val="-37"/>
              </w:rPr>
              <w:t xml:space="preserve"> </w:t>
            </w:r>
            <w:r>
              <w:rPr>
                <w:spacing w:val="7"/>
              </w:rPr>
              <w:t>本次评标采用</w:t>
            </w:r>
            <w:r>
              <w:rPr>
                <w:b/>
                <w:bCs/>
                <w:spacing w:val="7"/>
                <w:u w:val="single" w:color="auto"/>
              </w:rPr>
              <w:t>双信封形式的技术评分最低标价法</w:t>
            </w:r>
          </w:p>
          <w:p>
            <w:pPr>
              <w:pStyle w:val="6"/>
              <w:spacing w:before="162" w:line="327" w:lineRule="auto"/>
              <w:ind w:left="113" w:right="108" w:firstLine="217"/>
            </w:pPr>
            <w:r>
              <w:rPr>
                <w:spacing w:val="8"/>
              </w:rPr>
              <w:t>（1）评标委员会首先对投标文件第一信封进行初步评审，然后对</w:t>
            </w:r>
            <w:r>
              <w:rPr>
                <w:spacing w:val="7"/>
              </w:rPr>
              <w:t>通过第一信封初步评审的投标</w:t>
            </w:r>
            <w:r>
              <w:t xml:space="preserve"> </w:t>
            </w:r>
            <w:r>
              <w:rPr>
                <w:spacing w:val="10"/>
              </w:rPr>
              <w:t>文件按照本章</w:t>
            </w:r>
            <w:r>
              <w:rPr>
                <w:spacing w:val="-34"/>
              </w:rPr>
              <w:t xml:space="preserve"> </w:t>
            </w:r>
            <w:r>
              <w:rPr>
                <w:spacing w:val="10"/>
              </w:rPr>
              <w:t>2.2</w:t>
            </w:r>
            <w:r>
              <w:rPr>
                <w:spacing w:val="-40"/>
              </w:rPr>
              <w:t xml:space="preserve"> </w:t>
            </w:r>
            <w:r>
              <w:rPr>
                <w:spacing w:val="10"/>
              </w:rPr>
              <w:t>款规定的评分标准进行第一信封详细量化评审</w:t>
            </w:r>
            <w:r>
              <w:rPr>
                <w:spacing w:val="9"/>
              </w:rPr>
              <w:t>，所有投标人的第二信封由招标</w:t>
            </w:r>
            <w:r>
              <w:t xml:space="preserve"> </w:t>
            </w:r>
            <w:r>
              <w:rPr>
                <w:spacing w:val="7"/>
              </w:rPr>
              <w:t>人统一负责保存。</w:t>
            </w:r>
          </w:p>
          <w:p>
            <w:pPr>
              <w:pStyle w:val="6"/>
              <w:spacing w:before="163" w:line="327" w:lineRule="auto"/>
              <w:ind w:left="111" w:right="108" w:firstLine="219"/>
            </w:pPr>
            <w:r>
              <w:rPr>
                <w:spacing w:val="7"/>
              </w:rPr>
              <w:t>（2）第一信封评审结果按照商务和技术评分由高到低排序</w:t>
            </w:r>
            <w:r>
              <w:rPr>
                <w:spacing w:val="6"/>
              </w:rPr>
              <w:t>，对排名在</w:t>
            </w:r>
            <w:r>
              <w:rPr>
                <w:spacing w:val="-39"/>
              </w:rPr>
              <w:t xml:space="preserve"> </w:t>
            </w:r>
            <w:r>
              <w:rPr>
                <w:spacing w:val="6"/>
              </w:rPr>
              <w:t>n</w:t>
            </w:r>
            <w:r>
              <w:rPr>
                <w:spacing w:val="-16"/>
              </w:rPr>
              <w:t xml:space="preserve"> </w:t>
            </w:r>
            <w:r>
              <w:rPr>
                <w:spacing w:val="6"/>
              </w:rPr>
              <w:t>以内的投标人的报价文</w:t>
            </w:r>
            <w:r>
              <w:t xml:space="preserve"> </w:t>
            </w:r>
            <w:r>
              <w:rPr>
                <w:spacing w:val="8"/>
              </w:rPr>
              <w:t>件进行评审，n</w:t>
            </w:r>
            <w:r>
              <w:rPr>
                <w:spacing w:val="-34"/>
              </w:rPr>
              <w:t xml:space="preserve"> </w:t>
            </w:r>
            <w:r>
              <w:rPr>
                <w:spacing w:val="8"/>
              </w:rPr>
              <w:t>值为参与商务和技术评分投标人数量的</w:t>
            </w:r>
            <w:r>
              <w:rPr>
                <w:spacing w:val="-35"/>
              </w:rPr>
              <w:t xml:space="preserve"> </w:t>
            </w:r>
            <w:r>
              <w:rPr>
                <w:spacing w:val="8"/>
              </w:rPr>
              <w:t>30%（数值向下取整）确定，n</w:t>
            </w:r>
            <w:r>
              <w:rPr>
                <w:spacing w:val="-38"/>
              </w:rPr>
              <w:t xml:space="preserve"> </w:t>
            </w:r>
            <w:r>
              <w:rPr>
                <w:spacing w:val="8"/>
              </w:rPr>
              <w:t>值不得少于</w:t>
            </w:r>
            <w:r>
              <w:t xml:space="preserve"> </w:t>
            </w:r>
            <w:r>
              <w:rPr>
                <w:spacing w:val="8"/>
              </w:rPr>
              <w:t>3，不得大于</w:t>
            </w:r>
            <w:r>
              <w:rPr>
                <w:spacing w:val="-24"/>
              </w:rPr>
              <w:t xml:space="preserve"> </w:t>
            </w:r>
            <w:r>
              <w:rPr>
                <w:spacing w:val="8"/>
              </w:rPr>
              <w:t>10。其第二信封在监督机关的监督下进</w:t>
            </w:r>
            <w:r>
              <w:rPr>
                <w:spacing w:val="7"/>
              </w:rPr>
              <w:t>行开标。</w:t>
            </w:r>
          </w:p>
          <w:p>
            <w:pPr>
              <w:pStyle w:val="6"/>
              <w:spacing w:before="162" w:line="370" w:lineRule="auto"/>
              <w:ind w:left="111" w:right="108" w:firstLine="421"/>
              <w:jc w:val="both"/>
            </w:pPr>
            <w:r>
              <w:rPr>
                <w:spacing w:val="10"/>
              </w:rPr>
              <w:t>若两个及以上投标人在综合得分均相同时，</w:t>
            </w:r>
            <w:r>
              <w:rPr>
                <w:spacing w:val="-59"/>
              </w:rPr>
              <w:t xml:space="preserve"> </w:t>
            </w:r>
            <w:r>
              <w:rPr>
                <w:spacing w:val="10"/>
              </w:rPr>
              <w:t>以项目</w:t>
            </w:r>
            <w:r>
              <w:rPr>
                <w:spacing w:val="9"/>
              </w:rPr>
              <w:t>所在地省级交通运输主管部门评为较高信</w:t>
            </w:r>
            <w:r>
              <w:t xml:space="preserve"> </w:t>
            </w:r>
            <w:r>
              <w:rPr>
                <w:spacing w:val="11"/>
              </w:rPr>
              <w:t>用等级高者优先（优先顺序为辽宁省公路施工企业信用评</w:t>
            </w:r>
            <w:r>
              <w:rPr>
                <w:spacing w:val="10"/>
              </w:rPr>
              <w:t>价结果、交通运输部公路施工企业信用</w:t>
            </w:r>
            <w:r>
              <w:t xml:space="preserve"> </w:t>
            </w:r>
            <w:r>
              <w:rPr>
                <w:spacing w:val="6"/>
              </w:rPr>
              <w:t>评价结果、企业注册地公路施工企业信用评价结果）。若信用等</w:t>
            </w:r>
            <w:r>
              <w:rPr>
                <w:spacing w:val="5"/>
              </w:rPr>
              <w:t>级相同时，以施工组织设计得分高</w:t>
            </w:r>
            <w:r>
              <w:t xml:space="preserve"> </w:t>
            </w:r>
            <w:r>
              <w:rPr>
                <w:spacing w:val="5"/>
              </w:rPr>
              <w:t>者优先。</w:t>
            </w:r>
          </w:p>
          <w:p>
            <w:pPr>
              <w:pStyle w:val="6"/>
              <w:spacing w:before="32" w:line="301" w:lineRule="auto"/>
              <w:ind w:left="129" w:right="108" w:firstLine="201"/>
            </w:pPr>
            <w:r>
              <w:rPr>
                <w:spacing w:val="8"/>
              </w:rPr>
              <w:t>（3）评标委员会对开启的投标文件第二信封进行形式和响应性评审，</w:t>
            </w:r>
            <w:r>
              <w:rPr>
                <w:spacing w:val="7"/>
              </w:rPr>
              <w:t>对通过形式和响应性评审</w:t>
            </w:r>
            <w:r>
              <w:t xml:space="preserve"> </w:t>
            </w:r>
            <w:r>
              <w:rPr>
                <w:spacing w:val="8"/>
              </w:rPr>
              <w:t>的投标人，按评标价由低至高的顺序推荐中标候选人。</w:t>
            </w:r>
          </w:p>
          <w:p>
            <w:pPr>
              <w:pStyle w:val="6"/>
              <w:spacing w:before="166" w:line="339" w:lineRule="auto"/>
              <w:ind w:left="113" w:right="108" w:firstLine="217"/>
            </w:pPr>
            <w:r>
              <w:rPr>
                <w:spacing w:val="8"/>
              </w:rPr>
              <w:t>（4）若出现最低评标价相同时，评标委员会将详细评审相同评标价的</w:t>
            </w:r>
            <w:r>
              <w:rPr>
                <w:spacing w:val="7"/>
              </w:rPr>
              <w:t>投标人文件，确认无雷同</w:t>
            </w:r>
            <w:r>
              <w:t xml:space="preserve"> </w:t>
            </w:r>
            <w:r>
              <w:rPr>
                <w:spacing w:val="11"/>
              </w:rPr>
              <w:t>后，则以第一信封得分高者优先；若第一信封</w:t>
            </w:r>
            <w:r>
              <w:rPr>
                <w:spacing w:val="10"/>
              </w:rPr>
              <w:t>得分也相同，则依次以被项目所在地省级交通运输</w:t>
            </w:r>
            <w:r>
              <w:t xml:space="preserve"> </w:t>
            </w:r>
            <w:r>
              <w:rPr>
                <w:spacing w:val="11"/>
              </w:rPr>
              <w:t>主管部门评为较高信用等级、企业业绩、项目管理</w:t>
            </w:r>
            <w:r>
              <w:rPr>
                <w:spacing w:val="10"/>
              </w:rPr>
              <w:t>机构、履约信誉、施工组织设计各单项得分由</w:t>
            </w:r>
            <w:r>
              <w:t xml:space="preserve"> </w:t>
            </w:r>
            <w:r>
              <w:rPr>
                <w:spacing w:val="7"/>
              </w:rPr>
              <w:t>高至低的顺序进行推荐。</w:t>
            </w:r>
          </w:p>
          <w:p>
            <w:pPr>
              <w:pStyle w:val="6"/>
              <w:spacing w:before="163" w:line="327" w:lineRule="auto"/>
              <w:ind w:left="112" w:right="108" w:firstLine="218"/>
            </w:pPr>
            <w:r>
              <w:rPr>
                <w:spacing w:val="7"/>
              </w:rPr>
              <w:t>（5）通过第一信封评审的投标人为</w:t>
            </w:r>
            <w:r>
              <w:rPr>
                <w:spacing w:val="-28"/>
              </w:rPr>
              <w:t xml:space="preserve"> </w:t>
            </w:r>
            <w:r>
              <w:rPr>
                <w:spacing w:val="7"/>
              </w:rPr>
              <w:t>3</w:t>
            </w:r>
            <w:r>
              <w:rPr>
                <w:spacing w:val="-41"/>
              </w:rPr>
              <w:t xml:space="preserve"> </w:t>
            </w:r>
            <w:r>
              <w:rPr>
                <w:spacing w:val="7"/>
              </w:rPr>
              <w:t>个的，招标人将按规定的程序进行第二信封开标；在对第</w:t>
            </w:r>
            <w:r>
              <w:t xml:space="preserve"> </w:t>
            </w:r>
            <w:r>
              <w:rPr>
                <w:spacing w:val="10"/>
              </w:rPr>
              <w:t>二信封进行评审后，有效投标人不足</w:t>
            </w:r>
            <w:r>
              <w:rPr>
                <w:spacing w:val="-35"/>
              </w:rPr>
              <w:t xml:space="preserve"> </w:t>
            </w:r>
            <w:r>
              <w:rPr>
                <w:spacing w:val="10"/>
              </w:rPr>
              <w:t>3</w:t>
            </w:r>
            <w:r>
              <w:rPr>
                <w:spacing w:val="-38"/>
              </w:rPr>
              <w:t xml:space="preserve"> </w:t>
            </w:r>
            <w:r>
              <w:rPr>
                <w:spacing w:val="10"/>
              </w:rPr>
              <w:t>个使得投标明显缺乏竞争的，评标委员会可以否</w:t>
            </w:r>
            <w:r>
              <w:rPr>
                <w:spacing w:val="9"/>
              </w:rPr>
              <w:t>决全部投</w:t>
            </w:r>
            <w:r>
              <w:t xml:space="preserve"> </w:t>
            </w:r>
            <w:r>
              <w:rPr>
                <w:spacing w:val="9"/>
              </w:rPr>
              <w:t>标。评标委员会未否决全部投标的，应当在评标报告中阐明理由并推荐中标候选人。</w:t>
            </w:r>
          </w:p>
          <w:p>
            <w:pPr>
              <w:pStyle w:val="6"/>
              <w:spacing w:before="162" w:line="286" w:lineRule="auto"/>
              <w:ind w:left="114" w:right="108" w:firstLine="216"/>
            </w:pPr>
            <w:r>
              <w:rPr>
                <w:spacing w:val="8"/>
              </w:rPr>
              <w:t>（6）若通过第一信封形式性与响应性及资格性评审的有效投标人数量</w:t>
            </w:r>
            <w:r>
              <w:rPr>
                <w:spacing w:val="7"/>
              </w:rPr>
              <w:t>仅为三家时，不再进行打</w:t>
            </w:r>
            <w:r>
              <w:t xml:space="preserve"> </w:t>
            </w:r>
            <w:r>
              <w:rPr>
                <w:spacing w:val="8"/>
              </w:rPr>
              <w:t>分，第一信封评审采用通过制。</w:t>
            </w:r>
          </w:p>
        </w:tc>
      </w:tr>
    </w:tbl>
    <w:p>
      <w:pPr>
        <w:rPr>
          <w:rFonts w:ascii="Arial"/>
          <w:sz w:val="21"/>
        </w:rPr>
      </w:pPr>
    </w:p>
    <w:p>
      <w:pPr>
        <w:rPr>
          <w:rFonts w:ascii="Arial" w:hAnsi="Arial" w:eastAsia="Arial" w:cs="Arial"/>
          <w:sz w:val="21"/>
          <w:szCs w:val="21"/>
        </w:rPr>
        <w:sectPr>
          <w:pgSz w:w="11906" w:h="16839"/>
          <w:pgMar w:top="1183" w:right="855" w:bottom="0" w:left="855" w:header="866" w:footer="0" w:gutter="0"/>
          <w:cols w:space="720" w:num="1"/>
        </w:sectPr>
      </w:pPr>
    </w:p>
    <w:p>
      <w:pPr>
        <w:spacing w:line="344" w:lineRule="auto"/>
        <w:rPr>
          <w:rFonts w:ascii="Arial"/>
          <w:sz w:val="21"/>
        </w:rPr>
      </w:pPr>
    </w:p>
    <w:p>
      <w:pPr>
        <w:spacing w:line="344" w:lineRule="auto"/>
        <w:rPr>
          <w:rFonts w:ascii="Arial"/>
          <w:sz w:val="21"/>
        </w:rPr>
      </w:pPr>
    </w:p>
    <w:p>
      <w:pPr>
        <w:pStyle w:val="2"/>
        <w:spacing w:before="91" w:line="222" w:lineRule="auto"/>
        <w:ind w:left="39"/>
        <w:rPr>
          <w:sz w:val="28"/>
          <w:szCs w:val="28"/>
        </w:rPr>
      </w:pPr>
      <w:r>
        <w:rPr>
          <w:spacing w:val="-4"/>
          <w:sz w:val="28"/>
          <w:szCs w:val="28"/>
        </w:rPr>
        <w:t>1. 评标方法</w:t>
      </w:r>
    </w:p>
    <w:p>
      <w:pPr>
        <w:spacing w:before="223" w:line="303" w:lineRule="auto"/>
        <w:ind w:left="21" w:firstLine="482"/>
        <w:jc w:val="both"/>
        <w:rPr>
          <w:rFonts w:ascii="宋体" w:hAnsi="宋体" w:eastAsia="宋体" w:cs="宋体"/>
          <w:sz w:val="24"/>
          <w:szCs w:val="24"/>
        </w:rPr>
      </w:pPr>
      <w:r>
        <w:rPr>
          <w:rFonts w:ascii="宋体" w:hAnsi="宋体" w:eastAsia="宋体" w:cs="宋体"/>
          <w:spacing w:val="-3"/>
          <w:sz w:val="24"/>
          <w:szCs w:val="24"/>
        </w:rPr>
        <w:t>本次评标采用技术评分最低标价法。评标委员会对满足招标文</w:t>
      </w:r>
      <w:r>
        <w:rPr>
          <w:rFonts w:ascii="宋体" w:hAnsi="宋体" w:eastAsia="宋体" w:cs="宋体"/>
          <w:spacing w:val="-4"/>
          <w:sz w:val="24"/>
          <w:szCs w:val="24"/>
        </w:rPr>
        <w:t>件实质性要求</w:t>
      </w:r>
      <w:r>
        <w:rPr>
          <w:rFonts w:ascii="宋体" w:hAnsi="宋体" w:eastAsia="宋体" w:cs="宋体"/>
          <w:sz w:val="24"/>
          <w:szCs w:val="24"/>
        </w:rPr>
        <w:t xml:space="preserve"> </w:t>
      </w:r>
      <w:r>
        <w:rPr>
          <w:rFonts w:ascii="宋体" w:hAnsi="宋体" w:eastAsia="宋体" w:cs="宋体"/>
          <w:spacing w:val="-3"/>
          <w:sz w:val="24"/>
          <w:szCs w:val="24"/>
        </w:rPr>
        <w:t>的投标文件的施工组织设计、主要人员、技术能力等因素进行评分，按照得分由</w:t>
      </w:r>
      <w:r>
        <w:rPr>
          <w:rFonts w:ascii="宋体" w:hAnsi="宋体" w:eastAsia="宋体" w:cs="宋体"/>
          <w:spacing w:val="2"/>
          <w:sz w:val="24"/>
          <w:szCs w:val="24"/>
        </w:rPr>
        <w:t xml:space="preserve"> </w:t>
      </w:r>
      <w:r>
        <w:rPr>
          <w:rFonts w:ascii="宋体" w:hAnsi="宋体" w:eastAsia="宋体" w:cs="宋体"/>
          <w:spacing w:val="-3"/>
          <w:sz w:val="24"/>
          <w:szCs w:val="24"/>
        </w:rPr>
        <w:t>高到低排序，对排名在招标文件规定数量以内的投标人的报价文件进行评审，按</w:t>
      </w:r>
      <w:r>
        <w:rPr>
          <w:rFonts w:ascii="宋体" w:hAnsi="宋体" w:eastAsia="宋体" w:cs="宋体"/>
          <w:spacing w:val="2"/>
          <w:sz w:val="24"/>
          <w:szCs w:val="24"/>
        </w:rPr>
        <w:t xml:space="preserve"> </w:t>
      </w:r>
      <w:r>
        <w:rPr>
          <w:rFonts w:ascii="宋体" w:hAnsi="宋体" w:eastAsia="宋体" w:cs="宋体"/>
          <w:spacing w:val="-2"/>
          <w:sz w:val="24"/>
          <w:szCs w:val="24"/>
        </w:rPr>
        <w:t>照评标价由低到高的顺序推荐中标候选人，或根据招标人授权直接确定中标人，</w:t>
      </w:r>
      <w:r>
        <w:rPr>
          <w:rFonts w:ascii="宋体" w:hAnsi="宋体" w:eastAsia="宋体" w:cs="宋体"/>
          <w:spacing w:val="3"/>
          <w:sz w:val="24"/>
          <w:szCs w:val="24"/>
        </w:rPr>
        <w:t xml:space="preserve"> </w:t>
      </w:r>
      <w:r>
        <w:rPr>
          <w:rFonts w:ascii="宋体" w:hAnsi="宋体" w:eastAsia="宋体" w:cs="宋体"/>
          <w:spacing w:val="-3"/>
          <w:sz w:val="24"/>
          <w:szCs w:val="24"/>
        </w:rPr>
        <w:t>但投标报价低于其成本的除外。评标价相等时，评标委员会应按照评标办法前附</w:t>
      </w:r>
      <w:r>
        <w:rPr>
          <w:rFonts w:ascii="宋体" w:hAnsi="宋体" w:eastAsia="宋体" w:cs="宋体"/>
          <w:spacing w:val="2"/>
          <w:sz w:val="24"/>
          <w:szCs w:val="24"/>
        </w:rPr>
        <w:t xml:space="preserve"> </w:t>
      </w:r>
      <w:r>
        <w:rPr>
          <w:rFonts w:ascii="宋体" w:hAnsi="宋体" w:eastAsia="宋体" w:cs="宋体"/>
          <w:spacing w:val="-1"/>
          <w:sz w:val="24"/>
          <w:szCs w:val="24"/>
        </w:rPr>
        <w:t>表规定的优先次序推荐中标候选人或确定中标人。</w:t>
      </w:r>
    </w:p>
    <w:p>
      <w:pPr>
        <w:spacing w:line="351" w:lineRule="auto"/>
        <w:rPr>
          <w:rFonts w:ascii="Arial"/>
          <w:sz w:val="21"/>
        </w:rPr>
      </w:pPr>
    </w:p>
    <w:p>
      <w:pPr>
        <w:spacing w:line="351" w:lineRule="auto"/>
        <w:rPr>
          <w:rFonts w:ascii="Arial"/>
          <w:sz w:val="21"/>
        </w:rPr>
      </w:pPr>
    </w:p>
    <w:p>
      <w:pPr>
        <w:pStyle w:val="2"/>
        <w:spacing w:before="91" w:line="222" w:lineRule="auto"/>
        <w:ind w:left="22"/>
        <w:outlineLvl w:val="0"/>
        <w:rPr>
          <w:sz w:val="28"/>
          <w:szCs w:val="28"/>
        </w:rPr>
      </w:pPr>
      <w:r>
        <w:rPr>
          <w:spacing w:val="-2"/>
          <w:sz w:val="28"/>
          <w:szCs w:val="28"/>
        </w:rPr>
        <w:t>2. 评审标准</w:t>
      </w:r>
    </w:p>
    <w:p>
      <w:pPr>
        <w:spacing w:line="288" w:lineRule="auto"/>
        <w:rPr>
          <w:rFonts w:ascii="Arial"/>
          <w:sz w:val="21"/>
        </w:rPr>
      </w:pPr>
    </w:p>
    <w:p>
      <w:pPr>
        <w:spacing w:line="288" w:lineRule="auto"/>
        <w:rPr>
          <w:rFonts w:ascii="Arial"/>
          <w:sz w:val="21"/>
        </w:rPr>
      </w:pPr>
    </w:p>
    <w:p>
      <w:pPr>
        <w:pStyle w:val="2"/>
        <w:spacing w:before="78" w:line="222" w:lineRule="auto"/>
        <w:ind w:left="21"/>
        <w:outlineLvl w:val="0"/>
        <w:rPr>
          <w:sz w:val="24"/>
          <w:szCs w:val="24"/>
        </w:rPr>
      </w:pPr>
      <w:r>
        <w:rPr>
          <w:spacing w:val="-1"/>
          <w:sz w:val="24"/>
          <w:szCs w:val="24"/>
        </w:rPr>
        <w:t>2.1 初步评审标准</w:t>
      </w:r>
    </w:p>
    <w:p>
      <w:pPr>
        <w:spacing w:before="232" w:line="219" w:lineRule="auto"/>
        <w:ind w:left="499"/>
        <w:rPr>
          <w:rFonts w:ascii="宋体" w:hAnsi="宋体" w:eastAsia="宋体" w:cs="宋体"/>
          <w:sz w:val="24"/>
          <w:szCs w:val="24"/>
        </w:rPr>
      </w:pPr>
      <w:r>
        <w:rPr>
          <w:rFonts w:ascii="Times New Roman" w:hAnsi="Times New Roman" w:eastAsia="Times New Roman" w:cs="Times New Roman"/>
          <w:spacing w:val="-1"/>
          <w:sz w:val="24"/>
          <w:szCs w:val="24"/>
        </w:rPr>
        <w:t xml:space="preserve">2.1.1  </w:t>
      </w:r>
      <w:r>
        <w:rPr>
          <w:rFonts w:ascii="宋体" w:hAnsi="宋体" w:eastAsia="宋体" w:cs="宋体"/>
          <w:spacing w:val="-1"/>
          <w:sz w:val="24"/>
          <w:szCs w:val="24"/>
        </w:rPr>
        <w:t>形式评审标准：见评标办法前附表。</w:t>
      </w:r>
    </w:p>
    <w:p>
      <w:pPr>
        <w:spacing w:before="116" w:line="219" w:lineRule="auto"/>
        <w:ind w:left="499"/>
        <w:rPr>
          <w:rFonts w:ascii="宋体" w:hAnsi="宋体" w:eastAsia="宋体" w:cs="宋体"/>
          <w:sz w:val="24"/>
          <w:szCs w:val="24"/>
        </w:rPr>
      </w:pPr>
      <w:r>
        <w:rPr>
          <w:rFonts w:ascii="Times New Roman" w:hAnsi="Times New Roman" w:eastAsia="Times New Roman" w:cs="Times New Roman"/>
          <w:spacing w:val="-1"/>
          <w:sz w:val="24"/>
          <w:szCs w:val="24"/>
        </w:rPr>
        <w:t xml:space="preserve">2.1.2  </w:t>
      </w:r>
      <w:r>
        <w:rPr>
          <w:rFonts w:ascii="宋体" w:hAnsi="宋体" w:eastAsia="宋体" w:cs="宋体"/>
          <w:spacing w:val="-1"/>
          <w:sz w:val="24"/>
          <w:szCs w:val="24"/>
        </w:rPr>
        <w:t>资格评审标准：见评标办法前附表。</w:t>
      </w:r>
    </w:p>
    <w:p>
      <w:pPr>
        <w:spacing w:before="116" w:line="219" w:lineRule="auto"/>
        <w:ind w:left="499"/>
        <w:rPr>
          <w:rFonts w:ascii="宋体" w:hAnsi="宋体" w:eastAsia="宋体" w:cs="宋体"/>
          <w:sz w:val="24"/>
          <w:szCs w:val="24"/>
        </w:rPr>
      </w:pPr>
      <w:r>
        <w:rPr>
          <w:rFonts w:ascii="Times New Roman" w:hAnsi="Times New Roman" w:eastAsia="Times New Roman" w:cs="Times New Roman"/>
          <w:spacing w:val="-1"/>
          <w:sz w:val="24"/>
          <w:szCs w:val="24"/>
        </w:rPr>
        <w:t xml:space="preserve">2.1.3  </w:t>
      </w:r>
      <w:r>
        <w:rPr>
          <w:rFonts w:ascii="宋体" w:hAnsi="宋体" w:eastAsia="宋体" w:cs="宋体"/>
          <w:spacing w:val="-1"/>
          <w:sz w:val="24"/>
          <w:szCs w:val="24"/>
        </w:rPr>
        <w:t>响应性评审标准：见评标办法前附表。</w:t>
      </w:r>
    </w:p>
    <w:p>
      <w:pPr>
        <w:spacing w:line="471" w:lineRule="auto"/>
        <w:rPr>
          <w:rFonts w:ascii="Arial"/>
          <w:sz w:val="21"/>
        </w:rPr>
      </w:pPr>
    </w:p>
    <w:p>
      <w:pPr>
        <w:pStyle w:val="2"/>
        <w:spacing w:before="78" w:line="222" w:lineRule="auto"/>
        <w:ind w:left="21"/>
        <w:outlineLvl w:val="0"/>
        <w:rPr>
          <w:sz w:val="24"/>
          <w:szCs w:val="24"/>
        </w:rPr>
      </w:pPr>
      <w:r>
        <w:rPr>
          <w:spacing w:val="-1"/>
          <w:sz w:val="24"/>
          <w:szCs w:val="24"/>
        </w:rPr>
        <w:t>2.2 分值构成与评分标准</w:t>
      </w:r>
    </w:p>
    <w:p>
      <w:pPr>
        <w:spacing w:before="233" w:line="219" w:lineRule="auto"/>
        <w:ind w:left="499"/>
        <w:rPr>
          <w:rFonts w:ascii="宋体" w:hAnsi="宋体" w:eastAsia="宋体" w:cs="宋体"/>
          <w:sz w:val="24"/>
          <w:szCs w:val="24"/>
        </w:rPr>
      </w:pPr>
      <w:r>
        <w:rPr>
          <w:rFonts w:ascii="Times New Roman" w:hAnsi="Times New Roman" w:eastAsia="Times New Roman" w:cs="Times New Roman"/>
          <w:spacing w:val="-1"/>
          <w:sz w:val="24"/>
          <w:szCs w:val="24"/>
        </w:rPr>
        <w:t xml:space="preserve">2.2.1  </w:t>
      </w:r>
      <w:r>
        <w:rPr>
          <w:rFonts w:ascii="宋体" w:hAnsi="宋体" w:eastAsia="宋体" w:cs="宋体"/>
          <w:spacing w:val="-1"/>
          <w:sz w:val="24"/>
          <w:szCs w:val="24"/>
        </w:rPr>
        <w:t>第一个信封评分分值构成</w:t>
      </w:r>
    </w:p>
    <w:p>
      <w:pPr>
        <w:spacing w:before="115" w:line="219" w:lineRule="auto"/>
        <w:ind w:left="514"/>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）施工组织设计：见评标办法前附表；</w:t>
      </w:r>
    </w:p>
    <w:p>
      <w:pPr>
        <w:spacing w:before="116" w:line="219" w:lineRule="auto"/>
        <w:ind w:left="514"/>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）主要人员：见评标办法前附表；</w:t>
      </w:r>
    </w:p>
    <w:p>
      <w:pPr>
        <w:spacing w:before="114" w:line="219" w:lineRule="auto"/>
        <w:ind w:left="514"/>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）其他评分因素：见评标办法前附表。</w:t>
      </w:r>
    </w:p>
    <w:p>
      <w:pPr>
        <w:spacing w:before="117" w:line="219" w:lineRule="auto"/>
        <w:ind w:left="499"/>
        <w:rPr>
          <w:rFonts w:ascii="宋体" w:hAnsi="宋体" w:eastAsia="宋体" w:cs="宋体"/>
          <w:sz w:val="24"/>
          <w:szCs w:val="24"/>
        </w:rPr>
      </w:pPr>
      <w:r>
        <w:rPr>
          <w:rFonts w:ascii="Times New Roman" w:hAnsi="Times New Roman" w:eastAsia="Times New Roman" w:cs="Times New Roman"/>
          <w:spacing w:val="-1"/>
          <w:sz w:val="24"/>
          <w:szCs w:val="24"/>
        </w:rPr>
        <w:t xml:space="preserve">2.2.2  </w:t>
      </w:r>
      <w:r>
        <w:rPr>
          <w:rFonts w:ascii="宋体" w:hAnsi="宋体" w:eastAsia="宋体" w:cs="宋体"/>
          <w:spacing w:val="-1"/>
          <w:sz w:val="24"/>
          <w:szCs w:val="24"/>
        </w:rPr>
        <w:t>第一个信封评分评分标准</w:t>
      </w:r>
    </w:p>
    <w:p>
      <w:pPr>
        <w:spacing w:before="115" w:line="219" w:lineRule="auto"/>
        <w:ind w:left="514"/>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）施工组织设计评分标准：见评标办法前附表；</w:t>
      </w:r>
    </w:p>
    <w:p>
      <w:pPr>
        <w:spacing w:before="114" w:line="219" w:lineRule="auto"/>
        <w:ind w:left="514"/>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）主要人员评分标准：见评标办法前附表；</w:t>
      </w:r>
    </w:p>
    <w:p>
      <w:pPr>
        <w:spacing w:before="116" w:line="219" w:lineRule="auto"/>
        <w:ind w:left="514"/>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）其他因素评分标准：见评标办法前附表。</w:t>
      </w:r>
    </w:p>
    <w:p>
      <w:pPr>
        <w:spacing w:before="116" w:line="219" w:lineRule="auto"/>
        <w:ind w:left="499"/>
        <w:rPr>
          <w:rFonts w:ascii="宋体" w:hAnsi="宋体" w:eastAsia="宋体" w:cs="宋体"/>
          <w:sz w:val="24"/>
          <w:szCs w:val="24"/>
        </w:rPr>
      </w:pPr>
      <w:r>
        <w:rPr>
          <w:rFonts w:ascii="Times New Roman" w:hAnsi="Times New Roman" w:eastAsia="Times New Roman" w:cs="Times New Roman"/>
          <w:sz w:val="24"/>
          <w:szCs w:val="24"/>
        </w:rPr>
        <w:t xml:space="preserve">2.2.3  </w:t>
      </w:r>
      <w:r>
        <w:rPr>
          <w:rFonts w:ascii="宋体" w:hAnsi="宋体" w:eastAsia="宋体" w:cs="宋体"/>
          <w:sz w:val="24"/>
          <w:szCs w:val="24"/>
        </w:rPr>
        <w:t>第二个信封详细评审标准：见评</w:t>
      </w:r>
      <w:r>
        <w:rPr>
          <w:rFonts w:ascii="宋体" w:hAnsi="宋体" w:eastAsia="宋体" w:cs="宋体"/>
          <w:spacing w:val="-1"/>
          <w:sz w:val="24"/>
          <w:szCs w:val="24"/>
        </w:rPr>
        <w:t>标办法前附表。</w:t>
      </w: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2"/>
        <w:spacing w:before="92" w:line="222" w:lineRule="auto"/>
        <w:ind w:left="25"/>
        <w:outlineLvl w:val="0"/>
        <w:rPr>
          <w:sz w:val="28"/>
          <w:szCs w:val="28"/>
        </w:rPr>
      </w:pPr>
      <w:r>
        <w:rPr>
          <w:spacing w:val="-2"/>
          <w:sz w:val="28"/>
          <w:szCs w:val="28"/>
        </w:rPr>
        <w:t>3. 评标程序</w:t>
      </w:r>
    </w:p>
    <w:p>
      <w:pPr>
        <w:spacing w:line="288" w:lineRule="auto"/>
        <w:rPr>
          <w:rFonts w:ascii="Arial"/>
          <w:sz w:val="21"/>
        </w:rPr>
      </w:pPr>
    </w:p>
    <w:p>
      <w:pPr>
        <w:spacing w:line="288" w:lineRule="auto"/>
        <w:rPr>
          <w:rFonts w:ascii="Arial"/>
          <w:sz w:val="21"/>
        </w:rPr>
      </w:pPr>
    </w:p>
    <w:p>
      <w:pPr>
        <w:pStyle w:val="2"/>
        <w:spacing w:before="78" w:line="222" w:lineRule="auto"/>
        <w:ind w:left="23"/>
        <w:outlineLvl w:val="0"/>
        <w:rPr>
          <w:sz w:val="24"/>
          <w:szCs w:val="24"/>
        </w:rPr>
      </w:pPr>
      <w:r>
        <w:rPr>
          <w:spacing w:val="-2"/>
          <w:sz w:val="24"/>
          <w:szCs w:val="24"/>
        </w:rPr>
        <w:t>3.1</w:t>
      </w:r>
      <w:r>
        <w:rPr>
          <w:spacing w:val="-47"/>
          <w:sz w:val="24"/>
          <w:szCs w:val="24"/>
        </w:rPr>
        <w:t xml:space="preserve"> </w:t>
      </w:r>
      <w:r>
        <w:rPr>
          <w:spacing w:val="-2"/>
          <w:sz w:val="24"/>
          <w:szCs w:val="24"/>
        </w:rPr>
        <w:t>第一个信封初步评审</w:t>
      </w:r>
    </w:p>
    <w:p>
      <w:pPr>
        <w:spacing w:before="232" w:line="219" w:lineRule="auto"/>
        <w:ind w:right="35"/>
        <w:jc w:val="right"/>
        <w:rPr>
          <w:rFonts w:ascii="宋体" w:hAnsi="宋体" w:eastAsia="宋体" w:cs="宋体"/>
          <w:sz w:val="24"/>
          <w:szCs w:val="24"/>
        </w:rPr>
      </w:pPr>
      <w:r>
        <w:rPr>
          <w:rFonts w:ascii="Times New Roman" w:hAnsi="Times New Roman" w:eastAsia="Times New Roman" w:cs="Times New Roman"/>
          <w:spacing w:val="-4"/>
          <w:sz w:val="24"/>
          <w:szCs w:val="24"/>
        </w:rPr>
        <w:t xml:space="preserve">3.1.1  </w:t>
      </w:r>
      <w:r>
        <w:rPr>
          <w:rFonts w:ascii="宋体" w:hAnsi="宋体" w:eastAsia="宋体" w:cs="宋体"/>
          <w:spacing w:val="-4"/>
          <w:sz w:val="24"/>
          <w:szCs w:val="24"/>
        </w:rPr>
        <w:t>评标委员会可以要求投标人提交第二章“投标人须知</w:t>
      </w:r>
      <w:r>
        <w:rPr>
          <w:rFonts w:ascii="宋体" w:hAnsi="宋体" w:eastAsia="宋体" w:cs="宋体"/>
          <w:spacing w:val="-71"/>
          <w:sz w:val="24"/>
          <w:szCs w:val="24"/>
        </w:rPr>
        <w:t xml:space="preserve"> </w:t>
      </w:r>
      <w:r>
        <w:rPr>
          <w:rFonts w:ascii="宋体" w:hAnsi="宋体" w:eastAsia="宋体" w:cs="宋体"/>
          <w:spacing w:val="-4"/>
          <w:sz w:val="24"/>
          <w:szCs w:val="24"/>
        </w:rPr>
        <w:t>”第</w:t>
      </w:r>
      <w:r>
        <w:rPr>
          <w:rFonts w:ascii="宋体" w:hAnsi="宋体" w:eastAsia="宋体" w:cs="宋体"/>
          <w:spacing w:val="-50"/>
          <w:sz w:val="24"/>
          <w:szCs w:val="24"/>
        </w:rPr>
        <w:t xml:space="preserve"> </w:t>
      </w:r>
      <w:r>
        <w:rPr>
          <w:rFonts w:ascii="Times New Roman" w:hAnsi="Times New Roman" w:eastAsia="Times New Roman" w:cs="Times New Roman"/>
          <w:spacing w:val="-4"/>
          <w:sz w:val="24"/>
          <w:szCs w:val="24"/>
        </w:rPr>
        <w:t xml:space="preserve">3.5.1 </w:t>
      </w:r>
      <w:r>
        <w:rPr>
          <w:rFonts w:ascii="宋体" w:hAnsi="宋体" w:eastAsia="宋体" w:cs="宋体"/>
          <w:spacing w:val="-4"/>
          <w:sz w:val="24"/>
          <w:szCs w:val="24"/>
        </w:rPr>
        <w:t>项至第</w:t>
      </w:r>
    </w:p>
    <w:p>
      <w:pPr>
        <w:spacing w:before="116" w:line="219" w:lineRule="auto"/>
        <w:ind w:left="23"/>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3.5.6</w:t>
      </w:r>
      <w:r>
        <w:rPr>
          <w:rFonts w:ascii="Times New Roman" w:hAnsi="Times New Roman" w:eastAsia="Times New Roman" w:cs="Times New Roman"/>
          <w:spacing w:val="21"/>
          <w:sz w:val="24"/>
          <w:szCs w:val="24"/>
        </w:rPr>
        <w:t xml:space="preserve"> </w:t>
      </w:r>
      <w:r>
        <w:rPr>
          <w:rFonts w:ascii="宋体" w:hAnsi="宋体" w:eastAsia="宋体" w:cs="宋体"/>
          <w:spacing w:val="4"/>
          <w:sz w:val="24"/>
          <w:szCs w:val="24"/>
        </w:rPr>
        <w:t>项规定的有关证明和证件的原件，以便核验。评标委员会依据本章第</w:t>
      </w:r>
      <w:r>
        <w:rPr>
          <w:rFonts w:ascii="宋体" w:hAnsi="宋体" w:eastAsia="宋体" w:cs="宋体"/>
          <w:spacing w:val="-48"/>
          <w:sz w:val="24"/>
          <w:szCs w:val="24"/>
        </w:rPr>
        <w:t xml:space="preserve"> </w:t>
      </w:r>
      <w:r>
        <w:rPr>
          <w:rFonts w:ascii="Times New Roman" w:hAnsi="Times New Roman" w:eastAsia="Times New Roman" w:cs="Times New Roman"/>
          <w:spacing w:val="4"/>
          <w:sz w:val="24"/>
          <w:szCs w:val="24"/>
        </w:rPr>
        <w:t>2.</w:t>
      </w:r>
      <w:r>
        <w:rPr>
          <w:rFonts w:ascii="Times New Roman" w:hAnsi="Times New Roman" w:eastAsia="Times New Roman" w:cs="Times New Roman"/>
          <w:spacing w:val="-24"/>
          <w:sz w:val="24"/>
          <w:szCs w:val="24"/>
        </w:rPr>
        <w:t xml:space="preserve"> </w:t>
      </w:r>
      <w:r>
        <w:rPr>
          <w:rFonts w:ascii="Times New Roman" w:hAnsi="Times New Roman" w:eastAsia="Times New Roman" w:cs="Times New Roman"/>
          <w:spacing w:val="4"/>
          <w:sz w:val="24"/>
          <w:szCs w:val="24"/>
        </w:rPr>
        <w:t>1</w:t>
      </w:r>
    </w:p>
    <w:p>
      <w:pPr>
        <w:spacing w:line="219" w:lineRule="auto"/>
        <w:rPr>
          <w:rFonts w:ascii="Times New Roman" w:hAnsi="Times New Roman" w:eastAsia="Times New Roman" w:cs="Times New Roman"/>
          <w:sz w:val="24"/>
          <w:szCs w:val="24"/>
        </w:rPr>
        <w:sectPr>
          <w:headerReference r:id="rId7" w:type="default"/>
          <w:pgSz w:w="11906" w:h="16839"/>
          <w:pgMar w:top="1183" w:right="1764" w:bottom="0" w:left="1785" w:header="866" w:footer="0" w:gutter="0"/>
          <w:cols w:space="720" w:num="1"/>
        </w:sectPr>
      </w:pPr>
    </w:p>
    <w:p>
      <w:pPr>
        <w:spacing w:line="299" w:lineRule="auto"/>
        <w:rPr>
          <w:rFonts w:ascii="Arial"/>
          <w:sz w:val="21"/>
        </w:rPr>
      </w:pPr>
    </w:p>
    <w:p>
      <w:pPr>
        <w:spacing w:before="78" w:line="295" w:lineRule="auto"/>
        <w:ind w:left="26" w:right="99" w:hanging="2"/>
        <w:rPr>
          <w:rFonts w:ascii="宋体" w:hAnsi="宋体" w:eastAsia="宋体" w:cs="宋体"/>
          <w:sz w:val="24"/>
          <w:szCs w:val="24"/>
        </w:rPr>
      </w:pPr>
      <w:r>
        <w:rPr>
          <w:rFonts w:ascii="宋体" w:hAnsi="宋体" w:eastAsia="宋体" w:cs="宋体"/>
          <w:spacing w:val="-3"/>
          <w:sz w:val="24"/>
          <w:szCs w:val="24"/>
        </w:rPr>
        <w:t>款规定的标准对投标文件第一个信封（商务及技术文件）进行初步评审。有一项</w:t>
      </w:r>
      <w:r>
        <w:rPr>
          <w:rFonts w:ascii="宋体" w:hAnsi="宋体" w:eastAsia="宋体" w:cs="宋体"/>
          <w:sz w:val="24"/>
          <w:szCs w:val="24"/>
        </w:rPr>
        <w:t xml:space="preserve"> </w:t>
      </w:r>
      <w:r>
        <w:rPr>
          <w:rFonts w:ascii="宋体" w:hAnsi="宋体" w:eastAsia="宋体" w:cs="宋体"/>
          <w:spacing w:val="-1"/>
          <w:sz w:val="24"/>
          <w:szCs w:val="24"/>
        </w:rPr>
        <w:t>不符合评审标准的，评标委员会应否决其投标。</w:t>
      </w:r>
    </w:p>
    <w:p>
      <w:pPr>
        <w:spacing w:before="36" w:line="298" w:lineRule="auto"/>
        <w:ind w:left="22" w:right="99" w:firstLine="481"/>
        <w:jc w:val="both"/>
        <w:rPr>
          <w:rFonts w:ascii="宋体" w:hAnsi="宋体" w:eastAsia="宋体" w:cs="宋体"/>
          <w:sz w:val="24"/>
          <w:szCs w:val="24"/>
        </w:rPr>
      </w:pPr>
      <w:r>
        <w:rPr>
          <w:rFonts w:ascii="Times New Roman" w:hAnsi="Times New Roman" w:eastAsia="Times New Roman" w:cs="Times New Roman"/>
          <w:spacing w:val="-1"/>
          <w:sz w:val="24"/>
          <w:szCs w:val="24"/>
        </w:rPr>
        <w:t>3.1.</w:t>
      </w:r>
      <w:r>
        <w:rPr>
          <w:rFonts w:ascii="Times New Roman" w:hAnsi="Times New Roman" w:eastAsia="Times New Roman" w:cs="Times New Roman"/>
          <w:spacing w:val="-29"/>
          <w:sz w:val="24"/>
          <w:szCs w:val="24"/>
        </w:rPr>
        <w:t xml:space="preserve"> </w:t>
      </w:r>
      <w:r>
        <w:rPr>
          <w:rFonts w:ascii="Times New Roman" w:hAnsi="Times New Roman" w:eastAsia="Times New Roman" w:cs="Times New Roman"/>
          <w:spacing w:val="-1"/>
          <w:sz w:val="24"/>
          <w:szCs w:val="24"/>
        </w:rPr>
        <w:t xml:space="preserve">1  </w:t>
      </w:r>
      <w:r>
        <w:rPr>
          <w:rFonts w:ascii="宋体" w:hAnsi="宋体" w:eastAsia="宋体" w:cs="宋体"/>
          <w:spacing w:val="-1"/>
          <w:sz w:val="24"/>
          <w:szCs w:val="24"/>
        </w:rPr>
        <w:t>评标委员会依据本章第</w:t>
      </w:r>
      <w:r>
        <w:rPr>
          <w:rFonts w:ascii="宋体" w:hAnsi="宋体" w:eastAsia="宋体" w:cs="宋体"/>
          <w:spacing w:val="-53"/>
          <w:sz w:val="24"/>
          <w:szCs w:val="24"/>
        </w:rPr>
        <w:t xml:space="preserve"> </w:t>
      </w:r>
      <w:r>
        <w:rPr>
          <w:rFonts w:ascii="Times New Roman" w:hAnsi="Times New Roman" w:eastAsia="Times New Roman" w:cs="Times New Roman"/>
          <w:spacing w:val="-1"/>
          <w:sz w:val="24"/>
          <w:szCs w:val="24"/>
        </w:rPr>
        <w:t>2.1.</w:t>
      </w:r>
      <w:r>
        <w:rPr>
          <w:rFonts w:ascii="Times New Roman" w:hAnsi="Times New Roman" w:eastAsia="Times New Roman" w:cs="Times New Roman"/>
          <w:spacing w:val="-29"/>
          <w:sz w:val="24"/>
          <w:szCs w:val="24"/>
        </w:rPr>
        <w:t xml:space="preserve"> </w:t>
      </w:r>
      <w:r>
        <w:rPr>
          <w:rFonts w:ascii="Times New Roman" w:hAnsi="Times New Roman" w:eastAsia="Times New Roman" w:cs="Times New Roman"/>
          <w:spacing w:val="-1"/>
          <w:sz w:val="24"/>
          <w:szCs w:val="24"/>
        </w:rPr>
        <w:t xml:space="preserve">1 </w:t>
      </w:r>
      <w:r>
        <w:rPr>
          <w:rFonts w:ascii="宋体" w:hAnsi="宋体" w:eastAsia="宋体" w:cs="宋体"/>
          <w:spacing w:val="-1"/>
          <w:sz w:val="24"/>
          <w:szCs w:val="24"/>
        </w:rPr>
        <w:t>项、第</w:t>
      </w:r>
      <w:r>
        <w:rPr>
          <w:rFonts w:ascii="宋体" w:hAnsi="宋体" w:eastAsia="宋体" w:cs="宋体"/>
          <w:spacing w:val="-55"/>
          <w:sz w:val="24"/>
          <w:szCs w:val="24"/>
        </w:rPr>
        <w:t xml:space="preserve"> </w:t>
      </w:r>
      <w:r>
        <w:rPr>
          <w:rFonts w:ascii="Times New Roman" w:hAnsi="Times New Roman" w:eastAsia="Times New Roman" w:cs="Times New Roman"/>
          <w:spacing w:val="-1"/>
          <w:sz w:val="24"/>
          <w:szCs w:val="24"/>
        </w:rPr>
        <w:t>2</w:t>
      </w:r>
      <w:r>
        <w:rPr>
          <w:rFonts w:ascii="Times New Roman" w:hAnsi="Times New Roman" w:eastAsia="Times New Roman" w:cs="Times New Roman"/>
          <w:spacing w:val="-2"/>
          <w:sz w:val="24"/>
          <w:szCs w:val="24"/>
        </w:rPr>
        <w:t xml:space="preserve">.1.3 </w:t>
      </w:r>
      <w:r>
        <w:rPr>
          <w:rFonts w:ascii="宋体" w:hAnsi="宋体" w:eastAsia="宋体" w:cs="宋体"/>
          <w:spacing w:val="-2"/>
          <w:sz w:val="24"/>
          <w:szCs w:val="24"/>
        </w:rPr>
        <w:t>项规定的评审标准对投标文</w:t>
      </w:r>
      <w:r>
        <w:rPr>
          <w:rFonts w:ascii="宋体" w:hAnsi="宋体" w:eastAsia="宋体" w:cs="宋体"/>
          <w:sz w:val="24"/>
          <w:szCs w:val="24"/>
        </w:rPr>
        <w:t xml:space="preserve"> </w:t>
      </w:r>
      <w:r>
        <w:rPr>
          <w:rFonts w:ascii="宋体" w:hAnsi="宋体" w:eastAsia="宋体" w:cs="宋体"/>
          <w:spacing w:val="-3"/>
          <w:sz w:val="24"/>
          <w:szCs w:val="24"/>
        </w:rPr>
        <w:t>件第一个信封（商务及技术文件）进行初步评审。有一项不符合评审标准的，评</w:t>
      </w:r>
      <w:r>
        <w:rPr>
          <w:rFonts w:ascii="宋体" w:hAnsi="宋体" w:eastAsia="宋体" w:cs="宋体"/>
          <w:spacing w:val="1"/>
          <w:sz w:val="24"/>
          <w:szCs w:val="24"/>
        </w:rPr>
        <w:t xml:space="preserve"> </w:t>
      </w:r>
      <w:r>
        <w:rPr>
          <w:rFonts w:ascii="宋体" w:hAnsi="宋体" w:eastAsia="宋体" w:cs="宋体"/>
          <w:spacing w:val="-1"/>
          <w:sz w:val="24"/>
          <w:szCs w:val="24"/>
        </w:rPr>
        <w:t>标委员会应否决其投标。</w:t>
      </w:r>
    </w:p>
    <w:p>
      <w:pPr>
        <w:spacing w:line="392" w:lineRule="auto"/>
        <w:rPr>
          <w:rFonts w:ascii="Arial"/>
          <w:sz w:val="21"/>
        </w:rPr>
      </w:pPr>
    </w:p>
    <w:p>
      <w:pPr>
        <w:pStyle w:val="2"/>
        <w:spacing w:before="78" w:line="222" w:lineRule="auto"/>
        <w:ind w:left="23"/>
        <w:outlineLvl w:val="0"/>
        <w:rPr>
          <w:sz w:val="24"/>
          <w:szCs w:val="24"/>
        </w:rPr>
      </w:pPr>
      <w:r>
        <w:rPr>
          <w:spacing w:val="-1"/>
          <w:sz w:val="24"/>
          <w:szCs w:val="24"/>
        </w:rPr>
        <w:t>3.2 第一个信封详细评审</w:t>
      </w:r>
    </w:p>
    <w:p>
      <w:pPr>
        <w:spacing w:before="234" w:line="263" w:lineRule="auto"/>
        <w:ind w:left="44" w:right="101" w:firstLine="459"/>
        <w:rPr>
          <w:rFonts w:ascii="宋体" w:hAnsi="宋体" w:eastAsia="宋体" w:cs="宋体"/>
          <w:sz w:val="24"/>
          <w:szCs w:val="24"/>
        </w:rPr>
      </w:pPr>
      <w:r>
        <w:rPr>
          <w:rFonts w:ascii="Times New Roman" w:hAnsi="Times New Roman" w:eastAsia="Times New Roman" w:cs="Times New Roman"/>
          <w:spacing w:val="1"/>
          <w:sz w:val="24"/>
          <w:szCs w:val="24"/>
        </w:rPr>
        <w:t>3.2.</w:t>
      </w:r>
      <w:r>
        <w:rPr>
          <w:rFonts w:ascii="Times New Roman" w:hAnsi="Times New Roman" w:eastAsia="Times New Roman" w:cs="Times New Roman"/>
          <w:spacing w:val="-30"/>
          <w:sz w:val="24"/>
          <w:szCs w:val="24"/>
        </w:rPr>
        <w:t xml:space="preserve"> </w:t>
      </w:r>
      <w:r>
        <w:rPr>
          <w:rFonts w:ascii="Times New Roman" w:hAnsi="Times New Roman" w:eastAsia="Times New Roman" w:cs="Times New Roman"/>
          <w:spacing w:val="1"/>
          <w:sz w:val="24"/>
          <w:szCs w:val="24"/>
        </w:rPr>
        <w:t xml:space="preserve">1  </w:t>
      </w:r>
      <w:r>
        <w:rPr>
          <w:rFonts w:ascii="宋体" w:hAnsi="宋体" w:eastAsia="宋体" w:cs="宋体"/>
          <w:spacing w:val="1"/>
          <w:sz w:val="24"/>
          <w:szCs w:val="24"/>
        </w:rPr>
        <w:t>评标委员会按本章第</w:t>
      </w:r>
      <w:r>
        <w:rPr>
          <w:rFonts w:ascii="宋体" w:hAnsi="宋体" w:eastAsia="宋体" w:cs="宋体"/>
          <w:spacing w:val="-53"/>
          <w:sz w:val="24"/>
          <w:szCs w:val="24"/>
        </w:rPr>
        <w:t xml:space="preserve"> </w:t>
      </w:r>
      <w:r>
        <w:rPr>
          <w:rFonts w:ascii="Times New Roman" w:hAnsi="Times New Roman" w:eastAsia="Times New Roman" w:cs="Times New Roman"/>
          <w:spacing w:val="1"/>
          <w:sz w:val="24"/>
          <w:szCs w:val="24"/>
        </w:rPr>
        <w:t xml:space="preserve">2.2 </w:t>
      </w:r>
      <w:r>
        <w:rPr>
          <w:rFonts w:ascii="宋体" w:hAnsi="宋体" w:eastAsia="宋体" w:cs="宋体"/>
          <w:spacing w:val="1"/>
          <w:sz w:val="24"/>
          <w:szCs w:val="24"/>
        </w:rPr>
        <w:t>款规定的量化因素和分值进行打分</w:t>
      </w:r>
      <w:r>
        <w:rPr>
          <w:rFonts w:ascii="宋体" w:hAnsi="宋体" w:eastAsia="宋体" w:cs="宋体"/>
          <w:sz w:val="24"/>
          <w:szCs w:val="24"/>
        </w:rPr>
        <w:t xml:space="preserve">，并计算 </w:t>
      </w:r>
      <w:r>
        <w:rPr>
          <w:rFonts w:ascii="宋体" w:hAnsi="宋体" w:eastAsia="宋体" w:cs="宋体"/>
          <w:spacing w:val="-3"/>
          <w:sz w:val="24"/>
          <w:szCs w:val="24"/>
        </w:rPr>
        <w:t>出各投标人的商务和技术得分。</w:t>
      </w:r>
    </w:p>
    <w:p>
      <w:pPr>
        <w:spacing w:before="115" w:line="264" w:lineRule="auto"/>
        <w:ind w:left="23" w:right="99" w:firstLine="491"/>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）按本章第</w:t>
      </w:r>
      <w:r>
        <w:rPr>
          <w:rFonts w:ascii="宋体" w:hAnsi="宋体" w:eastAsia="宋体" w:cs="宋体"/>
          <w:spacing w:val="-40"/>
          <w:sz w:val="24"/>
          <w:szCs w:val="24"/>
        </w:rPr>
        <w:t xml:space="preserve"> </w:t>
      </w:r>
      <w:r>
        <w:rPr>
          <w:rFonts w:ascii="Times New Roman" w:hAnsi="Times New Roman" w:eastAsia="Times New Roman" w:cs="Times New Roman"/>
          <w:spacing w:val="-2"/>
          <w:sz w:val="24"/>
          <w:szCs w:val="24"/>
        </w:rPr>
        <w:t xml:space="preserve">2.2.2 </w:t>
      </w:r>
      <w:r>
        <w:rPr>
          <w:rFonts w:ascii="宋体" w:hAnsi="宋体" w:eastAsia="宋体" w:cs="宋体"/>
          <w:spacing w:val="-2"/>
          <w:sz w:val="24"/>
          <w:szCs w:val="24"/>
        </w:rPr>
        <w:t>项（</w:t>
      </w:r>
      <w:r>
        <w:rPr>
          <w:rFonts w:ascii="Times New Roman" w:hAnsi="Times New Roman" w:eastAsia="Times New Roman" w:cs="Times New Roman"/>
          <w:spacing w:val="-2"/>
          <w:sz w:val="24"/>
          <w:szCs w:val="24"/>
        </w:rPr>
        <w:t>1</w:t>
      </w:r>
      <w:r>
        <w:rPr>
          <w:rFonts w:ascii="宋体" w:hAnsi="宋体" w:eastAsia="宋体" w:cs="宋体"/>
          <w:spacing w:val="-2"/>
          <w:sz w:val="24"/>
          <w:szCs w:val="24"/>
        </w:rPr>
        <w:t>）</w:t>
      </w:r>
      <w:r>
        <w:rPr>
          <w:rFonts w:ascii="宋体" w:hAnsi="宋体" w:eastAsia="宋体" w:cs="宋体"/>
          <w:spacing w:val="-62"/>
          <w:sz w:val="24"/>
          <w:szCs w:val="24"/>
        </w:rPr>
        <w:t xml:space="preserve"> </w:t>
      </w:r>
      <w:r>
        <w:rPr>
          <w:rFonts w:ascii="宋体" w:hAnsi="宋体" w:eastAsia="宋体" w:cs="宋体"/>
          <w:spacing w:val="-2"/>
          <w:sz w:val="24"/>
          <w:szCs w:val="24"/>
        </w:rPr>
        <w:t>目规定的评审因素和分值对施工组织设计部分</w:t>
      </w:r>
      <w:r>
        <w:rPr>
          <w:rFonts w:ascii="宋体" w:hAnsi="宋体" w:eastAsia="宋体" w:cs="宋体"/>
          <w:sz w:val="24"/>
          <w:szCs w:val="24"/>
        </w:rPr>
        <w:t xml:space="preserve"> </w:t>
      </w:r>
      <w:r>
        <w:rPr>
          <w:rFonts w:ascii="宋体" w:hAnsi="宋体" w:eastAsia="宋体" w:cs="宋体"/>
          <w:spacing w:val="-2"/>
          <w:sz w:val="24"/>
          <w:szCs w:val="24"/>
        </w:rPr>
        <w:t>计算出得分</w:t>
      </w:r>
      <w:r>
        <w:rPr>
          <w:rFonts w:ascii="宋体" w:hAnsi="宋体" w:eastAsia="宋体" w:cs="宋体"/>
          <w:spacing w:val="-57"/>
          <w:sz w:val="24"/>
          <w:szCs w:val="24"/>
        </w:rPr>
        <w:t xml:space="preserve"> </w:t>
      </w:r>
      <w:r>
        <w:rPr>
          <w:rFonts w:ascii="Times New Roman" w:hAnsi="Times New Roman" w:eastAsia="Times New Roman" w:cs="Times New Roman"/>
          <w:spacing w:val="-2"/>
          <w:sz w:val="24"/>
          <w:szCs w:val="24"/>
        </w:rPr>
        <w:t>A</w:t>
      </w:r>
      <w:r>
        <w:rPr>
          <w:rFonts w:ascii="宋体" w:hAnsi="宋体" w:eastAsia="宋体" w:cs="宋体"/>
          <w:spacing w:val="-2"/>
          <w:sz w:val="24"/>
          <w:szCs w:val="24"/>
        </w:rPr>
        <w:t>；</w:t>
      </w:r>
    </w:p>
    <w:p>
      <w:pPr>
        <w:spacing w:before="113" w:line="264" w:lineRule="auto"/>
        <w:ind w:left="44" w:right="99" w:firstLine="47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）按本章第</w:t>
      </w:r>
      <w:r>
        <w:rPr>
          <w:rFonts w:ascii="宋体" w:hAnsi="宋体" w:eastAsia="宋体" w:cs="宋体"/>
          <w:spacing w:val="-40"/>
          <w:sz w:val="24"/>
          <w:szCs w:val="24"/>
        </w:rPr>
        <w:t xml:space="preserve"> </w:t>
      </w:r>
      <w:r>
        <w:rPr>
          <w:rFonts w:ascii="Times New Roman" w:hAnsi="Times New Roman" w:eastAsia="Times New Roman" w:cs="Times New Roman"/>
          <w:spacing w:val="-2"/>
          <w:sz w:val="24"/>
          <w:szCs w:val="24"/>
        </w:rPr>
        <w:t xml:space="preserve">2.2.2 </w:t>
      </w:r>
      <w:r>
        <w:rPr>
          <w:rFonts w:ascii="宋体" w:hAnsi="宋体" w:eastAsia="宋体" w:cs="宋体"/>
          <w:spacing w:val="-2"/>
          <w:sz w:val="24"/>
          <w:szCs w:val="24"/>
        </w:rPr>
        <w:t>项（</w:t>
      </w:r>
      <w:r>
        <w:rPr>
          <w:rFonts w:ascii="Times New Roman" w:hAnsi="Times New Roman" w:eastAsia="Times New Roman" w:cs="Times New Roman"/>
          <w:spacing w:val="-2"/>
          <w:sz w:val="24"/>
          <w:szCs w:val="24"/>
        </w:rPr>
        <w:t>2</w:t>
      </w:r>
      <w:r>
        <w:rPr>
          <w:rFonts w:ascii="宋体" w:hAnsi="宋体" w:eastAsia="宋体" w:cs="宋体"/>
          <w:spacing w:val="-2"/>
          <w:sz w:val="24"/>
          <w:szCs w:val="24"/>
        </w:rPr>
        <w:t>）</w:t>
      </w:r>
      <w:r>
        <w:rPr>
          <w:rFonts w:ascii="宋体" w:hAnsi="宋体" w:eastAsia="宋体" w:cs="宋体"/>
          <w:spacing w:val="-62"/>
          <w:sz w:val="24"/>
          <w:szCs w:val="24"/>
        </w:rPr>
        <w:t xml:space="preserve"> </w:t>
      </w:r>
      <w:r>
        <w:rPr>
          <w:rFonts w:ascii="宋体" w:hAnsi="宋体" w:eastAsia="宋体" w:cs="宋体"/>
          <w:spacing w:val="-2"/>
          <w:sz w:val="24"/>
          <w:szCs w:val="24"/>
        </w:rPr>
        <w:t>目规定的评审因素和分值对主要人员部分计算</w:t>
      </w:r>
      <w:r>
        <w:rPr>
          <w:rFonts w:ascii="宋体" w:hAnsi="宋体" w:eastAsia="宋体" w:cs="宋体"/>
          <w:sz w:val="24"/>
          <w:szCs w:val="24"/>
        </w:rPr>
        <w:t xml:space="preserve"> </w:t>
      </w:r>
      <w:r>
        <w:rPr>
          <w:rFonts w:ascii="宋体" w:hAnsi="宋体" w:eastAsia="宋体" w:cs="宋体"/>
          <w:spacing w:val="-7"/>
          <w:sz w:val="24"/>
          <w:szCs w:val="24"/>
        </w:rPr>
        <w:t>出得分</w:t>
      </w:r>
      <w:r>
        <w:rPr>
          <w:rFonts w:ascii="宋体" w:hAnsi="宋体" w:eastAsia="宋体" w:cs="宋体"/>
          <w:spacing w:val="-56"/>
          <w:sz w:val="24"/>
          <w:szCs w:val="24"/>
        </w:rPr>
        <w:t xml:space="preserve"> </w:t>
      </w:r>
      <w:r>
        <w:rPr>
          <w:rFonts w:ascii="Times New Roman" w:hAnsi="Times New Roman" w:eastAsia="Times New Roman" w:cs="Times New Roman"/>
          <w:spacing w:val="-7"/>
          <w:sz w:val="24"/>
          <w:szCs w:val="24"/>
        </w:rPr>
        <w:t>B</w:t>
      </w:r>
      <w:r>
        <w:rPr>
          <w:rFonts w:ascii="宋体" w:hAnsi="宋体" w:eastAsia="宋体" w:cs="宋体"/>
          <w:spacing w:val="-7"/>
          <w:sz w:val="24"/>
          <w:szCs w:val="24"/>
        </w:rPr>
        <w:t>；</w:t>
      </w:r>
    </w:p>
    <w:p>
      <w:pPr>
        <w:spacing w:before="116" w:line="263" w:lineRule="auto"/>
        <w:ind w:left="26" w:right="99" w:firstLine="488"/>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）按本章第</w:t>
      </w:r>
      <w:r>
        <w:rPr>
          <w:rFonts w:ascii="宋体" w:hAnsi="宋体" w:eastAsia="宋体" w:cs="宋体"/>
          <w:spacing w:val="-40"/>
          <w:sz w:val="24"/>
          <w:szCs w:val="24"/>
        </w:rPr>
        <w:t xml:space="preserve"> </w:t>
      </w:r>
      <w:r>
        <w:rPr>
          <w:rFonts w:ascii="Times New Roman" w:hAnsi="Times New Roman" w:eastAsia="Times New Roman" w:cs="Times New Roman"/>
          <w:spacing w:val="-2"/>
          <w:sz w:val="24"/>
          <w:szCs w:val="24"/>
        </w:rPr>
        <w:t xml:space="preserve">2.2.2 </w:t>
      </w:r>
      <w:r>
        <w:rPr>
          <w:rFonts w:ascii="宋体" w:hAnsi="宋体" w:eastAsia="宋体" w:cs="宋体"/>
          <w:spacing w:val="-2"/>
          <w:sz w:val="24"/>
          <w:szCs w:val="24"/>
        </w:rPr>
        <w:t>项（</w:t>
      </w:r>
      <w:r>
        <w:rPr>
          <w:rFonts w:ascii="Times New Roman" w:hAnsi="Times New Roman" w:eastAsia="Times New Roman" w:cs="Times New Roman"/>
          <w:spacing w:val="-2"/>
          <w:sz w:val="24"/>
          <w:szCs w:val="24"/>
        </w:rPr>
        <w:t>3</w:t>
      </w:r>
      <w:r>
        <w:rPr>
          <w:rFonts w:ascii="宋体" w:hAnsi="宋体" w:eastAsia="宋体" w:cs="宋体"/>
          <w:spacing w:val="-2"/>
          <w:sz w:val="24"/>
          <w:szCs w:val="24"/>
        </w:rPr>
        <w:t>）</w:t>
      </w:r>
      <w:r>
        <w:rPr>
          <w:rFonts w:ascii="宋体" w:hAnsi="宋体" w:eastAsia="宋体" w:cs="宋体"/>
          <w:spacing w:val="-62"/>
          <w:sz w:val="24"/>
          <w:szCs w:val="24"/>
        </w:rPr>
        <w:t xml:space="preserve"> </w:t>
      </w:r>
      <w:r>
        <w:rPr>
          <w:rFonts w:ascii="宋体" w:hAnsi="宋体" w:eastAsia="宋体" w:cs="宋体"/>
          <w:spacing w:val="-2"/>
          <w:sz w:val="24"/>
          <w:szCs w:val="24"/>
        </w:rPr>
        <w:t>目规定的评审因素和分值对其他部分计算出得</w:t>
      </w:r>
      <w:r>
        <w:rPr>
          <w:rFonts w:ascii="宋体" w:hAnsi="宋体" w:eastAsia="宋体" w:cs="宋体"/>
          <w:sz w:val="24"/>
          <w:szCs w:val="24"/>
        </w:rPr>
        <w:t xml:space="preserve"> </w:t>
      </w:r>
      <w:r>
        <w:rPr>
          <w:rFonts w:ascii="宋体" w:hAnsi="宋体" w:eastAsia="宋体" w:cs="宋体"/>
          <w:spacing w:val="-8"/>
          <w:sz w:val="24"/>
          <w:szCs w:val="24"/>
        </w:rPr>
        <w:t>分</w:t>
      </w:r>
      <w:r>
        <w:rPr>
          <w:rFonts w:ascii="宋体" w:hAnsi="宋体" w:eastAsia="宋体" w:cs="宋体"/>
          <w:spacing w:val="-50"/>
          <w:sz w:val="24"/>
          <w:szCs w:val="24"/>
        </w:rPr>
        <w:t xml:space="preserve"> </w:t>
      </w:r>
      <w:r>
        <w:rPr>
          <w:rFonts w:ascii="Times New Roman" w:hAnsi="Times New Roman" w:eastAsia="Times New Roman" w:cs="Times New Roman"/>
          <w:spacing w:val="-8"/>
          <w:sz w:val="24"/>
          <w:szCs w:val="24"/>
        </w:rPr>
        <w:t>C</w:t>
      </w:r>
      <w:r>
        <w:rPr>
          <w:rFonts w:ascii="宋体" w:hAnsi="宋体" w:eastAsia="宋体" w:cs="宋体"/>
          <w:spacing w:val="-8"/>
          <w:sz w:val="24"/>
          <w:szCs w:val="24"/>
        </w:rPr>
        <w:t>。</w:t>
      </w:r>
    </w:p>
    <w:p>
      <w:pPr>
        <w:spacing w:before="114" w:line="265" w:lineRule="auto"/>
        <w:ind w:left="23" w:right="99" w:firstLine="480"/>
        <w:rPr>
          <w:rFonts w:ascii="宋体" w:hAnsi="宋体" w:eastAsia="宋体" w:cs="宋体"/>
          <w:sz w:val="24"/>
          <w:szCs w:val="24"/>
        </w:rPr>
      </w:pPr>
      <w:r>
        <w:rPr>
          <w:rFonts w:ascii="Times New Roman" w:hAnsi="Times New Roman" w:eastAsia="Times New Roman" w:cs="Times New Roman"/>
          <w:sz w:val="24"/>
          <w:szCs w:val="24"/>
        </w:rPr>
        <w:t xml:space="preserve">3.2.2  </w:t>
      </w:r>
      <w:r>
        <w:rPr>
          <w:rFonts w:ascii="宋体" w:hAnsi="宋体" w:eastAsia="宋体" w:cs="宋体"/>
          <w:sz w:val="24"/>
          <w:szCs w:val="24"/>
        </w:rPr>
        <w:t>投标人的商务和技术得分分值计算保留小数点后两位，小数点后第三</w:t>
      </w:r>
      <w:r>
        <w:rPr>
          <w:rFonts w:ascii="宋体" w:hAnsi="宋体" w:eastAsia="宋体" w:cs="宋体"/>
          <w:spacing w:val="15"/>
          <w:sz w:val="24"/>
          <w:szCs w:val="24"/>
        </w:rPr>
        <w:t xml:space="preserve"> </w:t>
      </w:r>
      <w:r>
        <w:rPr>
          <w:rFonts w:ascii="宋体" w:hAnsi="宋体" w:eastAsia="宋体" w:cs="宋体"/>
          <w:spacing w:val="-10"/>
          <w:sz w:val="24"/>
          <w:szCs w:val="24"/>
        </w:rPr>
        <w:t>位“</w:t>
      </w:r>
      <w:r>
        <w:rPr>
          <w:rFonts w:ascii="宋体" w:hAnsi="宋体" w:eastAsia="宋体" w:cs="宋体"/>
          <w:spacing w:val="-83"/>
          <w:sz w:val="24"/>
          <w:szCs w:val="24"/>
        </w:rPr>
        <w:t xml:space="preserve"> </w:t>
      </w:r>
      <w:r>
        <w:rPr>
          <w:rFonts w:ascii="宋体" w:hAnsi="宋体" w:eastAsia="宋体" w:cs="宋体"/>
          <w:spacing w:val="-10"/>
          <w:sz w:val="24"/>
          <w:szCs w:val="24"/>
        </w:rPr>
        <w:t>四舍五入</w:t>
      </w:r>
      <w:r>
        <w:rPr>
          <w:rFonts w:ascii="宋体" w:hAnsi="宋体" w:eastAsia="宋体" w:cs="宋体"/>
          <w:spacing w:val="-88"/>
          <w:sz w:val="24"/>
          <w:szCs w:val="24"/>
        </w:rPr>
        <w:t xml:space="preserve"> </w:t>
      </w:r>
      <w:r>
        <w:rPr>
          <w:rFonts w:ascii="宋体" w:hAnsi="宋体" w:eastAsia="宋体" w:cs="宋体"/>
          <w:spacing w:val="-10"/>
          <w:sz w:val="24"/>
          <w:szCs w:val="24"/>
        </w:rPr>
        <w:t>”。</w:t>
      </w:r>
    </w:p>
    <w:p>
      <w:pPr>
        <w:spacing w:before="68" w:line="323" w:lineRule="exact"/>
        <w:ind w:left="503"/>
        <w:rPr>
          <w:rFonts w:ascii="宋体" w:hAnsi="宋体" w:eastAsia="宋体" w:cs="宋体"/>
          <w:sz w:val="24"/>
          <w:szCs w:val="24"/>
        </w:rPr>
      </w:pPr>
      <w:r>
        <w:rPr>
          <w:rFonts w:ascii="Times New Roman" w:hAnsi="Times New Roman" w:eastAsia="Times New Roman" w:cs="Times New Roman"/>
          <w:spacing w:val="-1"/>
          <w:position w:val="1"/>
          <w:sz w:val="24"/>
          <w:szCs w:val="24"/>
        </w:rPr>
        <w:t xml:space="preserve">3.2.3  </w:t>
      </w:r>
      <w:r>
        <w:rPr>
          <w:rFonts w:ascii="宋体" w:hAnsi="宋体" w:eastAsia="宋体" w:cs="宋体"/>
          <w:spacing w:val="-1"/>
          <w:position w:val="1"/>
          <w:sz w:val="24"/>
          <w:szCs w:val="24"/>
        </w:rPr>
        <w:t>投标人的商务和技术得分</w:t>
      </w:r>
      <w:r>
        <w:rPr>
          <w:rFonts w:ascii="Times New Roman" w:hAnsi="Times New Roman" w:eastAsia="Times New Roman" w:cs="Times New Roman"/>
          <w:spacing w:val="-1"/>
          <w:position w:val="1"/>
          <w:sz w:val="24"/>
          <w:szCs w:val="24"/>
        </w:rPr>
        <w:t>=A+B+C</w:t>
      </w:r>
      <w:r>
        <w:rPr>
          <w:rFonts w:ascii="宋体" w:hAnsi="宋体" w:eastAsia="宋体" w:cs="宋体"/>
          <w:spacing w:val="-1"/>
          <w:position w:val="1"/>
          <w:sz w:val="24"/>
          <w:szCs w:val="24"/>
        </w:rPr>
        <w:t>。</w:t>
      </w:r>
    </w:p>
    <w:p>
      <w:pPr>
        <w:spacing w:before="122" w:line="278" w:lineRule="auto"/>
        <w:ind w:left="23" w:right="26" w:firstLine="480"/>
        <w:rPr>
          <w:rFonts w:ascii="宋体" w:hAnsi="宋体" w:eastAsia="宋体" w:cs="宋体"/>
          <w:sz w:val="24"/>
          <w:szCs w:val="24"/>
        </w:rPr>
      </w:pPr>
      <w:r>
        <w:rPr>
          <w:rFonts w:ascii="Times New Roman" w:hAnsi="Times New Roman" w:eastAsia="Times New Roman" w:cs="Times New Roman"/>
          <w:sz w:val="24"/>
          <w:szCs w:val="24"/>
        </w:rPr>
        <w:t xml:space="preserve">3.2.4  </w:t>
      </w:r>
      <w:r>
        <w:rPr>
          <w:rFonts w:ascii="宋体" w:hAnsi="宋体" w:eastAsia="宋体" w:cs="宋体"/>
          <w:sz w:val="24"/>
          <w:szCs w:val="24"/>
        </w:rPr>
        <w:t>评标委员会按照投标人的商务和技术得分由高到低排序，排名在评标</w:t>
      </w:r>
      <w:r>
        <w:rPr>
          <w:rFonts w:ascii="宋体" w:hAnsi="宋体" w:eastAsia="宋体" w:cs="宋体"/>
          <w:spacing w:val="15"/>
          <w:sz w:val="24"/>
          <w:szCs w:val="24"/>
        </w:rPr>
        <w:t xml:space="preserve"> </w:t>
      </w:r>
      <w:r>
        <w:rPr>
          <w:rFonts w:ascii="宋体" w:hAnsi="宋体" w:eastAsia="宋体" w:cs="宋体"/>
          <w:spacing w:val="-1"/>
          <w:sz w:val="24"/>
          <w:szCs w:val="24"/>
        </w:rPr>
        <w:t>办法前附表规定数量以内的投标人，其投标文件第一个信封（商务及技术文件）</w:t>
      </w:r>
      <w:r>
        <w:rPr>
          <w:rFonts w:ascii="宋体" w:hAnsi="宋体" w:eastAsia="宋体" w:cs="宋体"/>
          <w:spacing w:val="3"/>
          <w:sz w:val="24"/>
          <w:szCs w:val="24"/>
        </w:rPr>
        <w:t xml:space="preserve"> </w:t>
      </w:r>
      <w:r>
        <w:rPr>
          <w:rFonts w:ascii="宋体" w:hAnsi="宋体" w:eastAsia="宋体" w:cs="宋体"/>
          <w:spacing w:val="-2"/>
          <w:sz w:val="24"/>
          <w:szCs w:val="24"/>
        </w:rPr>
        <w:t>通过详细评审。</w:t>
      </w:r>
    </w:p>
    <w:p>
      <w:pPr>
        <w:spacing w:before="115" w:line="278" w:lineRule="auto"/>
        <w:ind w:left="23" w:right="45" w:firstLine="480"/>
        <w:rPr>
          <w:rFonts w:ascii="宋体" w:hAnsi="宋体" w:eastAsia="宋体" w:cs="宋体"/>
          <w:sz w:val="24"/>
          <w:szCs w:val="24"/>
        </w:rPr>
      </w:pPr>
      <w:r>
        <w:rPr>
          <w:rFonts w:ascii="Times New Roman" w:hAnsi="Times New Roman" w:eastAsia="Times New Roman" w:cs="Times New Roman"/>
          <w:sz w:val="24"/>
          <w:szCs w:val="24"/>
        </w:rPr>
        <w:t xml:space="preserve">3.2.5  </w:t>
      </w:r>
      <w:r>
        <w:rPr>
          <w:rFonts w:ascii="宋体" w:hAnsi="宋体" w:eastAsia="宋体" w:cs="宋体"/>
          <w:sz w:val="24"/>
          <w:szCs w:val="24"/>
        </w:rPr>
        <w:t>通过投标文件第一个信封（商务及技术文件）初步评审的投标人不少</w:t>
      </w:r>
      <w:r>
        <w:rPr>
          <w:rFonts w:ascii="宋体" w:hAnsi="宋体" w:eastAsia="宋体" w:cs="宋体"/>
          <w:spacing w:val="15"/>
          <w:sz w:val="24"/>
          <w:szCs w:val="24"/>
        </w:rPr>
        <w:t xml:space="preserve"> </w:t>
      </w:r>
      <w:r>
        <w:rPr>
          <w:rFonts w:ascii="宋体" w:hAnsi="宋体" w:eastAsia="宋体" w:cs="宋体"/>
          <w:spacing w:val="-1"/>
          <w:sz w:val="24"/>
          <w:szCs w:val="24"/>
        </w:rPr>
        <w:t>于</w:t>
      </w:r>
      <w:r>
        <w:rPr>
          <w:rFonts w:ascii="宋体" w:hAnsi="宋体" w:eastAsia="宋体" w:cs="宋体"/>
          <w:spacing w:val="-32"/>
          <w:sz w:val="24"/>
          <w:szCs w:val="24"/>
        </w:rPr>
        <w:t xml:space="preserve"> </w:t>
      </w:r>
      <w:r>
        <w:rPr>
          <w:rFonts w:ascii="Times New Roman" w:hAnsi="Times New Roman" w:eastAsia="Times New Roman" w:cs="Times New Roman"/>
          <w:spacing w:val="-1"/>
          <w:sz w:val="24"/>
          <w:szCs w:val="24"/>
        </w:rPr>
        <w:t xml:space="preserve">3 </w:t>
      </w:r>
      <w:r>
        <w:rPr>
          <w:rFonts w:ascii="宋体" w:hAnsi="宋体" w:eastAsia="宋体" w:cs="宋体"/>
          <w:spacing w:val="-1"/>
          <w:sz w:val="24"/>
          <w:szCs w:val="24"/>
        </w:rPr>
        <w:t>个且未超过评标办法前附表第</w:t>
      </w:r>
      <w:r>
        <w:rPr>
          <w:rFonts w:ascii="宋体" w:hAnsi="宋体" w:eastAsia="宋体" w:cs="宋体"/>
          <w:spacing w:val="-50"/>
          <w:sz w:val="24"/>
          <w:szCs w:val="24"/>
        </w:rPr>
        <w:t xml:space="preserve"> </w:t>
      </w:r>
      <w:r>
        <w:rPr>
          <w:rFonts w:ascii="Times New Roman" w:hAnsi="Times New Roman" w:eastAsia="Times New Roman" w:cs="Times New Roman"/>
          <w:spacing w:val="-1"/>
          <w:sz w:val="24"/>
          <w:szCs w:val="24"/>
        </w:rPr>
        <w:t>3.2.4</w:t>
      </w:r>
      <w:r>
        <w:rPr>
          <w:rFonts w:ascii="Times New Roman" w:hAnsi="Times New Roman" w:eastAsia="Times New Roman" w:cs="Times New Roman"/>
          <w:spacing w:val="15"/>
          <w:w w:val="101"/>
          <w:sz w:val="24"/>
          <w:szCs w:val="24"/>
        </w:rPr>
        <w:t xml:space="preserve"> </w:t>
      </w:r>
      <w:r>
        <w:rPr>
          <w:rFonts w:ascii="宋体" w:hAnsi="宋体" w:eastAsia="宋体" w:cs="宋体"/>
          <w:spacing w:val="-1"/>
          <w:sz w:val="24"/>
          <w:szCs w:val="24"/>
        </w:rPr>
        <w:t>项规定数量的，均通过投标文件第一个</w:t>
      </w:r>
      <w:r>
        <w:rPr>
          <w:rFonts w:ascii="宋体" w:hAnsi="宋体" w:eastAsia="宋体" w:cs="宋体"/>
          <w:sz w:val="24"/>
          <w:szCs w:val="24"/>
        </w:rPr>
        <w:t xml:space="preserve"> </w:t>
      </w:r>
      <w:r>
        <w:rPr>
          <w:rFonts w:ascii="宋体" w:hAnsi="宋体" w:eastAsia="宋体" w:cs="宋体"/>
          <w:spacing w:val="-1"/>
          <w:sz w:val="24"/>
          <w:szCs w:val="24"/>
        </w:rPr>
        <w:t>信封（商务及技术文件）详细评审，不再对</w:t>
      </w:r>
      <w:r>
        <w:rPr>
          <w:rFonts w:ascii="宋体" w:hAnsi="宋体" w:eastAsia="宋体" w:cs="宋体"/>
          <w:spacing w:val="-2"/>
          <w:sz w:val="24"/>
          <w:szCs w:val="24"/>
        </w:rPr>
        <w:t>投标人的商务和技术文件进行评分。</w:t>
      </w:r>
    </w:p>
    <w:p>
      <w:pPr>
        <w:spacing w:line="473" w:lineRule="auto"/>
        <w:rPr>
          <w:rFonts w:ascii="Arial"/>
          <w:sz w:val="21"/>
        </w:rPr>
      </w:pPr>
    </w:p>
    <w:p>
      <w:pPr>
        <w:pStyle w:val="2"/>
        <w:spacing w:before="78" w:line="222" w:lineRule="auto"/>
        <w:ind w:left="23"/>
        <w:outlineLvl w:val="0"/>
        <w:rPr>
          <w:sz w:val="24"/>
          <w:szCs w:val="24"/>
        </w:rPr>
      </w:pPr>
      <w:r>
        <w:rPr>
          <w:spacing w:val="-1"/>
          <w:sz w:val="24"/>
          <w:szCs w:val="24"/>
        </w:rPr>
        <w:t>3.3 第二个信封开标</w:t>
      </w:r>
    </w:p>
    <w:p>
      <w:pPr>
        <w:spacing w:before="233" w:line="298" w:lineRule="auto"/>
        <w:ind w:left="22" w:firstLine="480"/>
        <w:jc w:val="both"/>
        <w:rPr>
          <w:rFonts w:ascii="宋体" w:hAnsi="宋体" w:eastAsia="宋体" w:cs="宋体"/>
          <w:sz w:val="24"/>
          <w:szCs w:val="24"/>
        </w:rPr>
      </w:pPr>
      <w:r>
        <w:rPr>
          <w:rFonts w:ascii="宋体" w:hAnsi="宋体" w:eastAsia="宋体" w:cs="宋体"/>
          <w:spacing w:val="-3"/>
          <w:sz w:val="24"/>
          <w:szCs w:val="24"/>
        </w:rPr>
        <w:t>第一个信封（商务及技术文件）评审结束后，招标人将按照第二</w:t>
      </w:r>
      <w:r>
        <w:rPr>
          <w:rFonts w:ascii="宋体" w:hAnsi="宋体" w:eastAsia="宋体" w:cs="宋体"/>
          <w:spacing w:val="-4"/>
          <w:sz w:val="24"/>
          <w:szCs w:val="24"/>
        </w:rPr>
        <w:t>章“投标人</w:t>
      </w:r>
      <w:r>
        <w:rPr>
          <w:rFonts w:ascii="宋体" w:hAnsi="宋体" w:eastAsia="宋体" w:cs="宋体"/>
          <w:sz w:val="24"/>
          <w:szCs w:val="24"/>
        </w:rPr>
        <w:t xml:space="preserve"> </w:t>
      </w:r>
      <w:r>
        <w:rPr>
          <w:rFonts w:ascii="宋体" w:hAnsi="宋体" w:eastAsia="宋体" w:cs="宋体"/>
          <w:spacing w:val="-6"/>
          <w:sz w:val="24"/>
          <w:szCs w:val="24"/>
        </w:rPr>
        <w:t>须知</w:t>
      </w:r>
      <w:r>
        <w:rPr>
          <w:rFonts w:ascii="宋体" w:hAnsi="宋体" w:eastAsia="宋体" w:cs="宋体"/>
          <w:spacing w:val="-88"/>
          <w:sz w:val="24"/>
          <w:szCs w:val="24"/>
        </w:rPr>
        <w:t xml:space="preserve"> </w:t>
      </w:r>
      <w:r>
        <w:rPr>
          <w:rFonts w:ascii="宋体" w:hAnsi="宋体" w:eastAsia="宋体" w:cs="宋体"/>
          <w:spacing w:val="-6"/>
          <w:sz w:val="24"/>
          <w:szCs w:val="24"/>
        </w:rPr>
        <w:t>”第</w:t>
      </w:r>
      <w:r>
        <w:rPr>
          <w:rFonts w:ascii="宋体" w:hAnsi="宋体" w:eastAsia="宋体" w:cs="宋体"/>
          <w:spacing w:val="-48"/>
          <w:sz w:val="24"/>
          <w:szCs w:val="24"/>
        </w:rPr>
        <w:t xml:space="preserve"> </w:t>
      </w:r>
      <w:r>
        <w:rPr>
          <w:rFonts w:ascii="Times New Roman" w:hAnsi="Times New Roman" w:eastAsia="Times New Roman" w:cs="Times New Roman"/>
          <w:spacing w:val="-6"/>
          <w:sz w:val="24"/>
          <w:szCs w:val="24"/>
        </w:rPr>
        <w:t xml:space="preserve">5.1 </w:t>
      </w:r>
      <w:r>
        <w:rPr>
          <w:rFonts w:ascii="宋体" w:hAnsi="宋体" w:eastAsia="宋体" w:cs="宋体"/>
          <w:spacing w:val="-6"/>
          <w:sz w:val="24"/>
          <w:szCs w:val="24"/>
        </w:rPr>
        <w:t>款规定的时间和地点对通过投标文件第一个信封（商务及技术文件）</w:t>
      </w:r>
      <w:r>
        <w:rPr>
          <w:rFonts w:ascii="宋体" w:hAnsi="宋体" w:eastAsia="宋体" w:cs="宋体"/>
          <w:sz w:val="24"/>
          <w:szCs w:val="24"/>
        </w:rPr>
        <w:t xml:space="preserve"> </w:t>
      </w:r>
      <w:r>
        <w:rPr>
          <w:rFonts w:ascii="宋体" w:hAnsi="宋体" w:eastAsia="宋体" w:cs="宋体"/>
          <w:spacing w:val="-1"/>
          <w:sz w:val="24"/>
          <w:szCs w:val="24"/>
        </w:rPr>
        <w:t>评审的投标文件第二个信封（报价文件）进行开标。</w:t>
      </w:r>
    </w:p>
    <w:p>
      <w:pPr>
        <w:spacing w:line="395" w:lineRule="auto"/>
        <w:rPr>
          <w:rFonts w:ascii="Arial"/>
          <w:sz w:val="21"/>
        </w:rPr>
      </w:pPr>
    </w:p>
    <w:p>
      <w:pPr>
        <w:pStyle w:val="2"/>
        <w:spacing w:before="79" w:line="222" w:lineRule="auto"/>
        <w:ind w:left="23"/>
        <w:outlineLvl w:val="0"/>
        <w:rPr>
          <w:sz w:val="24"/>
          <w:szCs w:val="24"/>
        </w:rPr>
      </w:pPr>
      <w:r>
        <w:rPr>
          <w:spacing w:val="-1"/>
          <w:sz w:val="24"/>
          <w:szCs w:val="24"/>
        </w:rPr>
        <w:t>3.4 第二个信封初步评审</w:t>
      </w:r>
    </w:p>
    <w:p>
      <w:pPr>
        <w:spacing w:before="234" w:line="298" w:lineRule="auto"/>
        <w:ind w:left="22" w:right="99" w:firstLine="481"/>
        <w:jc w:val="both"/>
        <w:rPr>
          <w:rFonts w:ascii="宋体" w:hAnsi="宋体" w:eastAsia="宋体" w:cs="宋体"/>
          <w:sz w:val="24"/>
          <w:szCs w:val="24"/>
        </w:rPr>
      </w:pPr>
      <w:r>
        <w:rPr>
          <w:rFonts w:ascii="Times New Roman" w:hAnsi="Times New Roman" w:eastAsia="Times New Roman" w:cs="Times New Roman"/>
          <w:spacing w:val="-1"/>
          <w:sz w:val="24"/>
          <w:szCs w:val="24"/>
        </w:rPr>
        <w:t>3.4.</w:t>
      </w:r>
      <w:r>
        <w:rPr>
          <w:rFonts w:ascii="Times New Roman" w:hAnsi="Times New Roman" w:eastAsia="Times New Roman" w:cs="Times New Roman"/>
          <w:spacing w:val="-29"/>
          <w:sz w:val="24"/>
          <w:szCs w:val="24"/>
        </w:rPr>
        <w:t xml:space="preserve"> </w:t>
      </w:r>
      <w:r>
        <w:rPr>
          <w:rFonts w:ascii="Times New Roman" w:hAnsi="Times New Roman" w:eastAsia="Times New Roman" w:cs="Times New Roman"/>
          <w:spacing w:val="-1"/>
          <w:sz w:val="24"/>
          <w:szCs w:val="24"/>
        </w:rPr>
        <w:t xml:space="preserve">1  </w:t>
      </w:r>
      <w:r>
        <w:rPr>
          <w:rFonts w:ascii="宋体" w:hAnsi="宋体" w:eastAsia="宋体" w:cs="宋体"/>
          <w:spacing w:val="-1"/>
          <w:sz w:val="24"/>
          <w:szCs w:val="24"/>
        </w:rPr>
        <w:t>评标委员会依据本章第</w:t>
      </w:r>
      <w:r>
        <w:rPr>
          <w:rFonts w:ascii="宋体" w:hAnsi="宋体" w:eastAsia="宋体" w:cs="宋体"/>
          <w:spacing w:val="-53"/>
          <w:sz w:val="24"/>
          <w:szCs w:val="24"/>
        </w:rPr>
        <w:t xml:space="preserve"> </w:t>
      </w:r>
      <w:r>
        <w:rPr>
          <w:rFonts w:ascii="Times New Roman" w:hAnsi="Times New Roman" w:eastAsia="Times New Roman" w:cs="Times New Roman"/>
          <w:spacing w:val="-1"/>
          <w:sz w:val="24"/>
          <w:szCs w:val="24"/>
        </w:rPr>
        <w:t>2.1.</w:t>
      </w:r>
      <w:r>
        <w:rPr>
          <w:rFonts w:ascii="Times New Roman" w:hAnsi="Times New Roman" w:eastAsia="Times New Roman" w:cs="Times New Roman"/>
          <w:spacing w:val="-29"/>
          <w:sz w:val="24"/>
          <w:szCs w:val="24"/>
        </w:rPr>
        <w:t xml:space="preserve"> </w:t>
      </w:r>
      <w:r>
        <w:rPr>
          <w:rFonts w:ascii="Times New Roman" w:hAnsi="Times New Roman" w:eastAsia="Times New Roman" w:cs="Times New Roman"/>
          <w:spacing w:val="-1"/>
          <w:sz w:val="24"/>
          <w:szCs w:val="24"/>
        </w:rPr>
        <w:t xml:space="preserve">1 </w:t>
      </w:r>
      <w:r>
        <w:rPr>
          <w:rFonts w:ascii="宋体" w:hAnsi="宋体" w:eastAsia="宋体" w:cs="宋体"/>
          <w:spacing w:val="-1"/>
          <w:sz w:val="24"/>
          <w:szCs w:val="24"/>
        </w:rPr>
        <w:t>项、第</w:t>
      </w:r>
      <w:r>
        <w:rPr>
          <w:rFonts w:ascii="宋体" w:hAnsi="宋体" w:eastAsia="宋体" w:cs="宋体"/>
          <w:spacing w:val="-55"/>
          <w:sz w:val="24"/>
          <w:szCs w:val="24"/>
        </w:rPr>
        <w:t xml:space="preserve"> </w:t>
      </w:r>
      <w:r>
        <w:rPr>
          <w:rFonts w:ascii="Times New Roman" w:hAnsi="Times New Roman" w:eastAsia="Times New Roman" w:cs="Times New Roman"/>
          <w:spacing w:val="-1"/>
          <w:sz w:val="24"/>
          <w:szCs w:val="24"/>
        </w:rPr>
        <w:t>2</w:t>
      </w:r>
      <w:r>
        <w:rPr>
          <w:rFonts w:ascii="Times New Roman" w:hAnsi="Times New Roman" w:eastAsia="Times New Roman" w:cs="Times New Roman"/>
          <w:spacing w:val="-2"/>
          <w:sz w:val="24"/>
          <w:szCs w:val="24"/>
        </w:rPr>
        <w:t xml:space="preserve">.1.3 </w:t>
      </w:r>
      <w:r>
        <w:rPr>
          <w:rFonts w:ascii="宋体" w:hAnsi="宋体" w:eastAsia="宋体" w:cs="宋体"/>
          <w:spacing w:val="-2"/>
          <w:sz w:val="24"/>
          <w:szCs w:val="24"/>
        </w:rPr>
        <w:t>项规定的评审标准对投标文</w:t>
      </w:r>
      <w:r>
        <w:rPr>
          <w:rFonts w:ascii="宋体" w:hAnsi="宋体" w:eastAsia="宋体" w:cs="宋体"/>
          <w:sz w:val="24"/>
          <w:szCs w:val="24"/>
        </w:rPr>
        <w:t xml:space="preserve"> </w:t>
      </w:r>
      <w:r>
        <w:rPr>
          <w:rFonts w:ascii="宋体" w:hAnsi="宋体" w:eastAsia="宋体" w:cs="宋体"/>
          <w:spacing w:val="-3"/>
          <w:sz w:val="24"/>
          <w:szCs w:val="24"/>
        </w:rPr>
        <w:t>件第二个信封（报价文件）进行初步评审。有一项不符合评审标准的，评标委员</w:t>
      </w:r>
      <w:r>
        <w:rPr>
          <w:rFonts w:ascii="宋体" w:hAnsi="宋体" w:eastAsia="宋体" w:cs="宋体"/>
          <w:spacing w:val="1"/>
          <w:sz w:val="24"/>
          <w:szCs w:val="24"/>
        </w:rPr>
        <w:t xml:space="preserve"> </w:t>
      </w:r>
      <w:r>
        <w:rPr>
          <w:rFonts w:ascii="宋体" w:hAnsi="宋体" w:eastAsia="宋体" w:cs="宋体"/>
          <w:spacing w:val="-2"/>
          <w:sz w:val="24"/>
          <w:szCs w:val="24"/>
        </w:rPr>
        <w:t>会应否决其投标。</w:t>
      </w:r>
    </w:p>
    <w:p>
      <w:pPr>
        <w:spacing w:line="298" w:lineRule="auto"/>
        <w:rPr>
          <w:rFonts w:ascii="宋体" w:hAnsi="宋体" w:eastAsia="宋体" w:cs="宋体"/>
          <w:sz w:val="24"/>
          <w:szCs w:val="24"/>
        </w:rPr>
        <w:sectPr>
          <w:headerReference r:id="rId8" w:type="default"/>
          <w:pgSz w:w="11906" w:h="16839"/>
          <w:pgMar w:top="1183" w:right="1700" w:bottom="0" w:left="1785" w:header="866" w:footer="0" w:gutter="0"/>
          <w:cols w:space="720" w:num="1"/>
        </w:sectPr>
      </w:pPr>
    </w:p>
    <w:p>
      <w:pPr>
        <w:spacing w:before="256" w:line="310" w:lineRule="auto"/>
        <w:ind w:left="23" w:right="18" w:firstLine="480"/>
        <w:rPr>
          <w:rFonts w:ascii="宋体" w:hAnsi="宋体" w:eastAsia="宋体" w:cs="宋体"/>
          <w:sz w:val="24"/>
          <w:szCs w:val="24"/>
        </w:rPr>
      </w:pPr>
      <w:r>
        <w:rPr>
          <w:rFonts w:ascii="Times New Roman" w:hAnsi="Times New Roman" w:eastAsia="Times New Roman" w:cs="Times New Roman"/>
          <w:spacing w:val="-3"/>
          <w:sz w:val="24"/>
          <w:szCs w:val="24"/>
        </w:rPr>
        <w:t>3.4.2</w:t>
      </w:r>
      <w:r>
        <w:fldChar w:fldCharType="begin"/>
      </w:r>
      <w:r>
        <w:instrText xml:space="preserve"> HYPERLINK \l "bookmark1" </w:instrText>
      </w:r>
      <w:r>
        <w:fldChar w:fldCharType="separate"/>
      </w:r>
      <w:r>
        <w:rPr>
          <w:rFonts w:ascii="Times New Roman" w:hAnsi="Times New Roman" w:eastAsia="Times New Roman" w:cs="Times New Roman"/>
          <w:spacing w:val="-3"/>
          <w:position w:val="6"/>
          <w:sz w:val="13"/>
          <w:szCs w:val="13"/>
        </w:rPr>
        <w:t>1</w:t>
      </w:r>
      <w:r>
        <w:rPr>
          <w:rFonts w:ascii="Times New Roman" w:hAnsi="Times New Roman" w:eastAsia="Times New Roman" w:cs="Times New Roman"/>
          <w:spacing w:val="-3"/>
          <w:position w:val="6"/>
          <w:sz w:val="13"/>
          <w:szCs w:val="13"/>
        </w:rPr>
        <w:fldChar w:fldCharType="end"/>
      </w:r>
      <w:r>
        <w:rPr>
          <w:rFonts w:ascii="Times New Roman" w:hAnsi="Times New Roman" w:eastAsia="Times New Roman" w:cs="Times New Roman"/>
          <w:spacing w:val="-3"/>
          <w:position w:val="6"/>
          <w:sz w:val="13"/>
          <w:szCs w:val="13"/>
        </w:rPr>
        <w:t xml:space="preserve">    </w:t>
      </w:r>
      <w:r>
        <w:rPr>
          <w:rFonts w:ascii="宋体" w:hAnsi="宋体" w:eastAsia="宋体" w:cs="宋体"/>
          <w:spacing w:val="-3"/>
          <w:sz w:val="24"/>
          <w:szCs w:val="24"/>
        </w:rPr>
        <w:t>投标报价有算术错误的，评标委员会按以下原则对投标报价进行修正，</w:t>
      </w:r>
      <w:r>
        <w:rPr>
          <w:rFonts w:ascii="宋体" w:hAnsi="宋体" w:eastAsia="宋体" w:cs="宋体"/>
          <w:spacing w:val="5"/>
          <w:sz w:val="24"/>
          <w:szCs w:val="24"/>
        </w:rPr>
        <w:t xml:space="preserve"> </w:t>
      </w:r>
      <w:r>
        <w:rPr>
          <w:rFonts w:ascii="宋体" w:hAnsi="宋体" w:eastAsia="宋体" w:cs="宋体"/>
          <w:spacing w:val="-3"/>
          <w:sz w:val="24"/>
          <w:szCs w:val="24"/>
        </w:rPr>
        <w:t>修正的价格经投标人书面确认后具有约束力。投标人不接受修正价格的，评标委</w:t>
      </w:r>
      <w:r>
        <w:rPr>
          <w:rFonts w:ascii="宋体" w:hAnsi="宋体" w:eastAsia="宋体" w:cs="宋体"/>
          <w:sz w:val="24"/>
          <w:szCs w:val="24"/>
        </w:rPr>
        <w:t xml:space="preserve">  </w:t>
      </w:r>
      <w:r>
        <w:rPr>
          <w:rFonts w:ascii="宋体" w:hAnsi="宋体" w:eastAsia="宋体" w:cs="宋体"/>
          <w:spacing w:val="-2"/>
          <w:sz w:val="24"/>
          <w:szCs w:val="24"/>
        </w:rPr>
        <w:t>员会应否决其投标。</w:t>
      </w:r>
    </w:p>
    <w:p>
      <w:pPr>
        <w:spacing w:before="114" w:line="219" w:lineRule="auto"/>
        <w:ind w:left="514"/>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）投标文件中的大写金额与小写金额不一致的，以大写金额为准；</w:t>
      </w:r>
    </w:p>
    <w:p>
      <w:pPr>
        <w:spacing w:before="116" w:line="259" w:lineRule="auto"/>
        <w:ind w:left="24" w:right="202" w:firstLine="490"/>
        <w:rPr>
          <w:rFonts w:ascii="Times New Roman" w:hAnsi="Times New Roman" w:eastAsia="Times New Roman" w:cs="Times New Roman"/>
          <w:sz w:val="24"/>
          <w:szCs w:val="24"/>
        </w:rPr>
      </w:pPr>
      <w:r>
        <w:rPr>
          <w:rFonts w:ascii="宋体" w:hAnsi="宋体" w:eastAsia="宋体" w:cs="宋体"/>
          <w:sz w:val="24"/>
          <w:szCs w:val="24"/>
        </w:rPr>
        <w:t>（</w:t>
      </w:r>
      <w:r>
        <w:rPr>
          <w:rFonts w:ascii="Times New Roman" w:hAnsi="Times New Roman" w:eastAsia="Times New Roman" w:cs="Times New Roman"/>
          <w:sz w:val="24"/>
          <w:szCs w:val="24"/>
        </w:rPr>
        <w:t>2</w:t>
      </w:r>
      <w:r>
        <w:rPr>
          <w:rFonts w:ascii="宋体" w:hAnsi="宋体" w:eastAsia="宋体" w:cs="宋体"/>
          <w:sz w:val="24"/>
          <w:szCs w:val="24"/>
        </w:rPr>
        <w:t>）总价金额与依据单价计算出的结果不一致的，以单价金额为准修正总</w:t>
      </w:r>
      <w:r>
        <w:rPr>
          <w:rFonts w:ascii="宋体" w:hAnsi="宋体" w:eastAsia="宋体" w:cs="宋体"/>
          <w:spacing w:val="2"/>
          <w:sz w:val="24"/>
          <w:szCs w:val="24"/>
        </w:rPr>
        <w:t xml:space="preserve"> </w:t>
      </w:r>
      <w:r>
        <w:rPr>
          <w:rFonts w:ascii="宋体" w:hAnsi="宋体" w:eastAsia="宋体" w:cs="宋体"/>
          <w:spacing w:val="-1"/>
          <w:sz w:val="24"/>
          <w:szCs w:val="24"/>
        </w:rPr>
        <w:t>价，但单价金额小数点有明显错误的除外</w:t>
      </w:r>
      <w:r>
        <w:rPr>
          <w:rFonts w:ascii="Times New Roman" w:hAnsi="Times New Roman" w:eastAsia="Times New Roman" w:cs="Times New Roman"/>
          <w:spacing w:val="-1"/>
          <w:sz w:val="24"/>
          <w:szCs w:val="24"/>
        </w:rPr>
        <w:t>;</w:t>
      </w:r>
    </w:p>
    <w:p>
      <w:pPr>
        <w:spacing w:before="125" w:line="263" w:lineRule="auto"/>
        <w:ind w:left="43" w:right="202" w:firstLine="471"/>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3</w:t>
      </w:r>
      <w:r>
        <w:rPr>
          <w:rFonts w:ascii="宋体" w:hAnsi="宋体" w:eastAsia="宋体" w:cs="宋体"/>
          <w:sz w:val="24"/>
          <w:szCs w:val="24"/>
        </w:rPr>
        <w:t>）当单价与数量相乘不等于合价时，以单价计算为准，如果单价有明显</w:t>
      </w:r>
      <w:r>
        <w:rPr>
          <w:rFonts w:ascii="宋体" w:hAnsi="宋体" w:eastAsia="宋体" w:cs="宋体"/>
          <w:spacing w:val="2"/>
          <w:sz w:val="24"/>
          <w:szCs w:val="24"/>
        </w:rPr>
        <w:t xml:space="preserve"> </w:t>
      </w:r>
      <w:r>
        <w:rPr>
          <w:rFonts w:ascii="宋体" w:hAnsi="宋体" w:eastAsia="宋体" w:cs="宋体"/>
          <w:spacing w:val="-1"/>
          <w:sz w:val="24"/>
          <w:szCs w:val="24"/>
        </w:rPr>
        <w:t>的小数点位置差错，应以标出的合价为准，同时对单价予以修</w:t>
      </w:r>
      <w:r>
        <w:rPr>
          <w:rFonts w:ascii="宋体" w:hAnsi="宋体" w:eastAsia="宋体" w:cs="宋体"/>
          <w:spacing w:val="-2"/>
          <w:sz w:val="24"/>
          <w:szCs w:val="24"/>
        </w:rPr>
        <w:t>正；</w:t>
      </w:r>
    </w:p>
    <w:p>
      <w:pPr>
        <w:spacing w:before="118" w:line="262" w:lineRule="auto"/>
        <w:ind w:left="28" w:right="202" w:firstLine="486"/>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4</w:t>
      </w:r>
      <w:r>
        <w:rPr>
          <w:rFonts w:ascii="宋体" w:hAnsi="宋体" w:eastAsia="宋体" w:cs="宋体"/>
          <w:sz w:val="24"/>
          <w:szCs w:val="24"/>
        </w:rPr>
        <w:t>）当各子目的合价累计不等于总价时，应以各子目合价累计数为准，修</w:t>
      </w:r>
      <w:r>
        <w:rPr>
          <w:rFonts w:ascii="宋体" w:hAnsi="宋体" w:eastAsia="宋体" w:cs="宋体"/>
          <w:spacing w:val="2"/>
          <w:sz w:val="24"/>
          <w:szCs w:val="24"/>
        </w:rPr>
        <w:t xml:space="preserve"> </w:t>
      </w:r>
      <w:r>
        <w:rPr>
          <w:rFonts w:ascii="宋体" w:hAnsi="宋体" w:eastAsia="宋体" w:cs="宋体"/>
          <w:spacing w:val="-4"/>
          <w:sz w:val="24"/>
          <w:szCs w:val="24"/>
        </w:rPr>
        <w:t>正总价。</w:t>
      </w:r>
    </w:p>
    <w:p>
      <w:pPr>
        <w:spacing w:before="116" w:line="278" w:lineRule="auto"/>
        <w:ind w:left="24" w:right="200" w:firstLine="479"/>
        <w:rPr>
          <w:rFonts w:ascii="宋体" w:hAnsi="宋体" w:eastAsia="宋体" w:cs="宋体"/>
          <w:sz w:val="24"/>
          <w:szCs w:val="24"/>
        </w:rPr>
      </w:pPr>
      <w:r>
        <w:rPr>
          <w:rFonts w:ascii="Times New Roman" w:hAnsi="Times New Roman" w:eastAsia="Times New Roman" w:cs="Times New Roman"/>
          <w:sz w:val="24"/>
          <w:szCs w:val="24"/>
        </w:rPr>
        <w:t xml:space="preserve">3.4.3  </w:t>
      </w:r>
      <w:r>
        <w:rPr>
          <w:rFonts w:ascii="宋体" w:hAnsi="宋体" w:eastAsia="宋体" w:cs="宋体"/>
          <w:sz w:val="24"/>
          <w:szCs w:val="24"/>
        </w:rPr>
        <w:t>工程量清单中的投标报价有其他错误的，评标委员会按以下原则对投</w:t>
      </w:r>
      <w:r>
        <w:rPr>
          <w:rFonts w:ascii="宋体" w:hAnsi="宋体" w:eastAsia="宋体" w:cs="宋体"/>
          <w:spacing w:val="15"/>
          <w:sz w:val="24"/>
          <w:szCs w:val="24"/>
        </w:rPr>
        <w:t xml:space="preserve"> </w:t>
      </w:r>
      <w:r>
        <w:rPr>
          <w:rFonts w:ascii="宋体" w:hAnsi="宋体" w:eastAsia="宋体" w:cs="宋体"/>
          <w:spacing w:val="-3"/>
          <w:sz w:val="24"/>
          <w:szCs w:val="24"/>
        </w:rPr>
        <w:t>标报价进行修正，修正的价格经投标人书面确认后具有约束力。投标人不接受修</w:t>
      </w:r>
      <w:r>
        <w:rPr>
          <w:rFonts w:ascii="宋体" w:hAnsi="宋体" w:eastAsia="宋体" w:cs="宋体"/>
          <w:sz w:val="24"/>
          <w:szCs w:val="24"/>
        </w:rPr>
        <w:t xml:space="preserve"> </w:t>
      </w:r>
      <w:r>
        <w:rPr>
          <w:rFonts w:ascii="宋体" w:hAnsi="宋体" w:eastAsia="宋体" w:cs="宋体"/>
          <w:spacing w:val="-1"/>
          <w:sz w:val="24"/>
          <w:szCs w:val="24"/>
        </w:rPr>
        <w:t>正价格的，评标委员会应否决其投标。</w:t>
      </w:r>
    </w:p>
    <w:p>
      <w:pPr>
        <w:spacing w:before="118" w:line="285" w:lineRule="auto"/>
        <w:ind w:left="23" w:right="200" w:firstLine="491"/>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1</w:t>
      </w:r>
      <w:r>
        <w:rPr>
          <w:rFonts w:ascii="宋体" w:hAnsi="宋体" w:eastAsia="宋体" w:cs="宋体"/>
          <w:sz w:val="24"/>
          <w:szCs w:val="24"/>
        </w:rPr>
        <w:t>）在招标人给定的工程量清单中漏报了某个工程子目的单价、合价或总</w:t>
      </w:r>
      <w:r>
        <w:rPr>
          <w:rFonts w:ascii="宋体" w:hAnsi="宋体" w:eastAsia="宋体" w:cs="宋体"/>
          <w:spacing w:val="2"/>
          <w:sz w:val="24"/>
          <w:szCs w:val="24"/>
        </w:rPr>
        <w:t xml:space="preserve"> </w:t>
      </w:r>
      <w:r>
        <w:rPr>
          <w:rFonts w:ascii="宋体" w:hAnsi="宋体" w:eastAsia="宋体" w:cs="宋体"/>
          <w:spacing w:val="-3"/>
          <w:sz w:val="24"/>
          <w:szCs w:val="24"/>
        </w:rPr>
        <w:t>额价，或所报单价、合价或总额价减少了报价范围，则漏报的工程子目单价、合</w:t>
      </w:r>
      <w:r>
        <w:rPr>
          <w:rFonts w:ascii="宋体" w:hAnsi="宋体" w:eastAsia="宋体" w:cs="宋体"/>
          <w:spacing w:val="1"/>
          <w:sz w:val="24"/>
          <w:szCs w:val="24"/>
        </w:rPr>
        <w:t xml:space="preserve"> </w:t>
      </w:r>
      <w:r>
        <w:rPr>
          <w:rFonts w:ascii="宋体" w:hAnsi="宋体" w:eastAsia="宋体" w:cs="宋体"/>
          <w:spacing w:val="-3"/>
          <w:sz w:val="24"/>
          <w:szCs w:val="24"/>
        </w:rPr>
        <w:t>价和总额价或单价、合价和总额价中减少的报价内容视为已含入其他工程子目的</w:t>
      </w:r>
      <w:r>
        <w:rPr>
          <w:rFonts w:ascii="宋体" w:hAnsi="宋体" w:eastAsia="宋体" w:cs="宋体"/>
          <w:spacing w:val="1"/>
          <w:sz w:val="24"/>
          <w:szCs w:val="24"/>
        </w:rPr>
        <w:t xml:space="preserve"> </w:t>
      </w:r>
      <w:r>
        <w:rPr>
          <w:rFonts w:ascii="宋体" w:hAnsi="宋体" w:eastAsia="宋体" w:cs="宋体"/>
          <w:spacing w:val="-1"/>
          <w:sz w:val="24"/>
          <w:szCs w:val="24"/>
        </w:rPr>
        <w:t>单价、合价和总额价之中。</w:t>
      </w:r>
    </w:p>
    <w:p>
      <w:pPr>
        <w:spacing w:before="116" w:line="278" w:lineRule="auto"/>
        <w:ind w:left="23" w:right="200" w:firstLine="491"/>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2</w:t>
      </w:r>
      <w:r>
        <w:rPr>
          <w:rFonts w:ascii="宋体" w:hAnsi="宋体" w:eastAsia="宋体" w:cs="宋体"/>
          <w:sz w:val="24"/>
          <w:szCs w:val="24"/>
        </w:rPr>
        <w:t>）在招标人给定的工程量清单中多报了某个工程子目的单价、合价或总</w:t>
      </w:r>
      <w:r>
        <w:rPr>
          <w:rFonts w:ascii="宋体" w:hAnsi="宋体" w:eastAsia="宋体" w:cs="宋体"/>
          <w:spacing w:val="2"/>
          <w:sz w:val="24"/>
          <w:szCs w:val="24"/>
        </w:rPr>
        <w:t xml:space="preserve"> </w:t>
      </w:r>
      <w:r>
        <w:rPr>
          <w:rFonts w:ascii="宋体" w:hAnsi="宋体" w:eastAsia="宋体" w:cs="宋体"/>
          <w:spacing w:val="-3"/>
          <w:sz w:val="24"/>
          <w:szCs w:val="24"/>
        </w:rPr>
        <w:t>额价，或所报单价、合价或总额价增加了报价范围，则从投标报价中扣除多报的</w:t>
      </w:r>
      <w:r>
        <w:rPr>
          <w:rFonts w:ascii="宋体" w:hAnsi="宋体" w:eastAsia="宋体" w:cs="宋体"/>
          <w:spacing w:val="1"/>
          <w:sz w:val="24"/>
          <w:szCs w:val="24"/>
        </w:rPr>
        <w:t xml:space="preserve"> </w:t>
      </w:r>
      <w:r>
        <w:rPr>
          <w:rFonts w:ascii="宋体" w:hAnsi="宋体" w:eastAsia="宋体" w:cs="宋体"/>
          <w:spacing w:val="-1"/>
          <w:sz w:val="24"/>
          <w:szCs w:val="24"/>
        </w:rPr>
        <w:t>工程子目报价或工程子目报价中增加了报价范围的部分报价。</w:t>
      </w:r>
    </w:p>
    <w:p>
      <w:pPr>
        <w:spacing w:before="118" w:line="262" w:lineRule="auto"/>
        <w:ind w:left="69" w:firstLine="445"/>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3</w:t>
      </w:r>
      <w:r>
        <w:rPr>
          <w:rFonts w:ascii="宋体" w:hAnsi="宋体" w:eastAsia="宋体" w:cs="宋体"/>
          <w:sz w:val="24"/>
          <w:szCs w:val="24"/>
        </w:rPr>
        <w:t>）当单价与数量的乘积与合价（金额）虽然一致，但投标人修改了该子</w:t>
      </w:r>
      <w:r>
        <w:rPr>
          <w:rFonts w:ascii="宋体" w:hAnsi="宋体" w:eastAsia="宋体" w:cs="宋体"/>
          <w:spacing w:val="1"/>
          <w:sz w:val="24"/>
          <w:szCs w:val="24"/>
        </w:rPr>
        <w:t xml:space="preserve">  </w:t>
      </w:r>
      <w:r>
        <w:rPr>
          <w:rFonts w:ascii="宋体" w:hAnsi="宋体" w:eastAsia="宋体" w:cs="宋体"/>
          <w:spacing w:val="-5"/>
          <w:sz w:val="24"/>
          <w:szCs w:val="24"/>
        </w:rPr>
        <w:t>目的工程数量，则其合价按招标人给定的工程数量乘以投标</w:t>
      </w:r>
      <w:r>
        <w:rPr>
          <w:rFonts w:ascii="宋体" w:hAnsi="宋体" w:eastAsia="宋体" w:cs="宋体"/>
          <w:spacing w:val="-6"/>
          <w:sz w:val="24"/>
          <w:szCs w:val="24"/>
        </w:rPr>
        <w:t>人所报单价予以修正。</w:t>
      </w:r>
    </w:p>
    <w:p>
      <w:pPr>
        <w:spacing w:before="117" w:line="264" w:lineRule="auto"/>
        <w:ind w:left="30" w:right="200" w:firstLine="473"/>
        <w:rPr>
          <w:rFonts w:ascii="宋体" w:hAnsi="宋体" w:eastAsia="宋体" w:cs="宋体"/>
          <w:sz w:val="24"/>
          <w:szCs w:val="24"/>
        </w:rPr>
      </w:pPr>
      <w:r>
        <w:rPr>
          <w:rFonts w:ascii="Times New Roman" w:hAnsi="Times New Roman" w:eastAsia="Times New Roman" w:cs="Times New Roman"/>
          <w:spacing w:val="-2"/>
          <w:sz w:val="24"/>
          <w:szCs w:val="24"/>
        </w:rPr>
        <w:t xml:space="preserve">3.4.4  </w:t>
      </w:r>
      <w:r>
        <w:rPr>
          <w:rFonts w:ascii="宋体" w:hAnsi="宋体" w:eastAsia="宋体" w:cs="宋体"/>
          <w:spacing w:val="-2"/>
          <w:sz w:val="24"/>
          <w:szCs w:val="24"/>
        </w:rPr>
        <w:t>修正后的最终投标报价若超过最高投标限价（如有</w:t>
      </w:r>
      <w:r>
        <w:rPr>
          <w:rFonts w:ascii="宋体" w:hAnsi="宋体" w:eastAsia="宋体" w:cs="宋体"/>
          <w:spacing w:val="-58"/>
          <w:w w:val="92"/>
          <w:sz w:val="24"/>
          <w:szCs w:val="24"/>
        </w:rPr>
        <w:t>），</w:t>
      </w:r>
      <w:r>
        <w:rPr>
          <w:rFonts w:ascii="宋体" w:hAnsi="宋体" w:eastAsia="宋体" w:cs="宋体"/>
          <w:spacing w:val="-2"/>
          <w:sz w:val="24"/>
          <w:szCs w:val="24"/>
        </w:rPr>
        <w:t>评标委员会应否</w:t>
      </w:r>
      <w:r>
        <w:rPr>
          <w:rFonts w:ascii="宋体" w:hAnsi="宋体" w:eastAsia="宋体" w:cs="宋体"/>
          <w:spacing w:val="1"/>
          <w:sz w:val="24"/>
          <w:szCs w:val="24"/>
        </w:rPr>
        <w:t xml:space="preserve"> </w:t>
      </w:r>
      <w:r>
        <w:rPr>
          <w:rFonts w:ascii="宋体" w:hAnsi="宋体" w:eastAsia="宋体" w:cs="宋体"/>
          <w:spacing w:val="-4"/>
          <w:sz w:val="24"/>
          <w:szCs w:val="24"/>
        </w:rPr>
        <w:t>决其投标。</w:t>
      </w:r>
    </w:p>
    <w:p>
      <w:pPr>
        <w:spacing w:line="471" w:lineRule="auto"/>
        <w:rPr>
          <w:rFonts w:ascii="Arial"/>
          <w:sz w:val="21"/>
        </w:rPr>
      </w:pPr>
    </w:p>
    <w:p>
      <w:pPr>
        <w:pStyle w:val="2"/>
        <w:spacing w:before="78" w:line="222" w:lineRule="auto"/>
        <w:ind w:left="23"/>
        <w:outlineLvl w:val="0"/>
        <w:rPr>
          <w:sz w:val="24"/>
          <w:szCs w:val="24"/>
        </w:rPr>
      </w:pPr>
      <w:r>
        <w:rPr>
          <w:spacing w:val="-1"/>
          <w:sz w:val="24"/>
          <w:szCs w:val="24"/>
        </w:rPr>
        <w:t>3.5 第二个信封详细评审</w:t>
      </w:r>
    </w:p>
    <w:p>
      <w:pPr>
        <w:spacing w:before="233" w:line="263" w:lineRule="auto"/>
        <w:ind w:left="25" w:right="202" w:firstLine="478"/>
        <w:rPr>
          <w:rFonts w:ascii="宋体" w:hAnsi="宋体" w:eastAsia="宋体" w:cs="宋体"/>
          <w:sz w:val="24"/>
          <w:szCs w:val="24"/>
        </w:rPr>
      </w:pPr>
      <w:r>
        <w:rPr>
          <w:rFonts w:ascii="Times New Roman" w:hAnsi="Times New Roman" w:eastAsia="Times New Roman" w:cs="Times New Roman"/>
          <w:spacing w:val="1"/>
          <w:sz w:val="24"/>
          <w:szCs w:val="24"/>
        </w:rPr>
        <w:t>3.5.</w:t>
      </w:r>
      <w:r>
        <w:rPr>
          <w:rFonts w:ascii="Times New Roman" w:hAnsi="Times New Roman" w:eastAsia="Times New Roman" w:cs="Times New Roman"/>
          <w:spacing w:val="-30"/>
          <w:sz w:val="24"/>
          <w:szCs w:val="24"/>
        </w:rPr>
        <w:t xml:space="preserve"> </w:t>
      </w:r>
      <w:r>
        <w:rPr>
          <w:rFonts w:ascii="Times New Roman" w:hAnsi="Times New Roman" w:eastAsia="Times New Roman" w:cs="Times New Roman"/>
          <w:spacing w:val="1"/>
          <w:sz w:val="24"/>
          <w:szCs w:val="24"/>
        </w:rPr>
        <w:t xml:space="preserve">1  </w:t>
      </w:r>
      <w:r>
        <w:rPr>
          <w:rFonts w:ascii="宋体" w:hAnsi="宋体" w:eastAsia="宋体" w:cs="宋体"/>
          <w:spacing w:val="1"/>
          <w:sz w:val="24"/>
          <w:szCs w:val="24"/>
        </w:rPr>
        <w:t>评标委员会按本章第</w:t>
      </w:r>
      <w:r>
        <w:rPr>
          <w:rFonts w:ascii="宋体" w:hAnsi="宋体" w:eastAsia="宋体" w:cs="宋体"/>
          <w:spacing w:val="-53"/>
          <w:sz w:val="24"/>
          <w:szCs w:val="24"/>
        </w:rPr>
        <w:t xml:space="preserve"> </w:t>
      </w:r>
      <w:r>
        <w:rPr>
          <w:rFonts w:ascii="Times New Roman" w:hAnsi="Times New Roman" w:eastAsia="Times New Roman" w:cs="Times New Roman"/>
          <w:spacing w:val="1"/>
          <w:sz w:val="24"/>
          <w:szCs w:val="24"/>
        </w:rPr>
        <w:t xml:space="preserve">2.2 </w:t>
      </w:r>
      <w:r>
        <w:rPr>
          <w:rFonts w:ascii="宋体" w:hAnsi="宋体" w:eastAsia="宋体" w:cs="宋体"/>
          <w:spacing w:val="1"/>
          <w:sz w:val="24"/>
          <w:szCs w:val="24"/>
        </w:rPr>
        <w:t>款规定的量化因素和标准进行价格</w:t>
      </w:r>
      <w:r>
        <w:rPr>
          <w:rFonts w:ascii="宋体" w:hAnsi="宋体" w:eastAsia="宋体" w:cs="宋体"/>
          <w:sz w:val="24"/>
          <w:szCs w:val="24"/>
        </w:rPr>
        <w:t xml:space="preserve">折算，计 </w:t>
      </w:r>
      <w:r>
        <w:rPr>
          <w:rFonts w:ascii="宋体" w:hAnsi="宋体" w:eastAsia="宋体" w:cs="宋体"/>
          <w:spacing w:val="-1"/>
          <w:sz w:val="24"/>
          <w:szCs w:val="24"/>
        </w:rPr>
        <w:t>算出评标价，并编制价格比较一览表。</w:t>
      </w:r>
    </w:p>
    <w:p>
      <w:pPr>
        <w:spacing w:before="117" w:line="278" w:lineRule="auto"/>
        <w:ind w:left="24" w:firstLine="479"/>
        <w:rPr>
          <w:rFonts w:ascii="宋体" w:hAnsi="宋体" w:eastAsia="宋体" w:cs="宋体"/>
          <w:sz w:val="24"/>
          <w:szCs w:val="24"/>
        </w:rPr>
      </w:pPr>
      <w:r>
        <w:rPr>
          <w:rFonts w:ascii="Times New Roman" w:hAnsi="Times New Roman" w:eastAsia="Times New Roman" w:cs="Times New Roman"/>
          <w:sz w:val="24"/>
          <w:szCs w:val="24"/>
        </w:rPr>
        <w:t xml:space="preserve">3.5.2  </w:t>
      </w:r>
      <w:r>
        <w:rPr>
          <w:rFonts w:ascii="宋体" w:hAnsi="宋体" w:eastAsia="宋体" w:cs="宋体"/>
          <w:sz w:val="24"/>
          <w:szCs w:val="24"/>
        </w:rPr>
        <w:t>评标委员会发现投标人的报价明显低于其他投标报价，使得其投标报</w:t>
      </w:r>
      <w:r>
        <w:rPr>
          <w:rFonts w:ascii="宋体" w:hAnsi="宋体" w:eastAsia="宋体" w:cs="宋体"/>
          <w:spacing w:val="7"/>
          <w:sz w:val="24"/>
          <w:szCs w:val="24"/>
        </w:rPr>
        <w:t xml:space="preserve">  </w:t>
      </w:r>
      <w:r>
        <w:rPr>
          <w:rFonts w:ascii="宋体" w:hAnsi="宋体" w:eastAsia="宋体" w:cs="宋体"/>
          <w:spacing w:val="-4"/>
          <w:sz w:val="24"/>
          <w:szCs w:val="24"/>
        </w:rPr>
        <w:t>价可能低于其个别成本的，应要求该投标人作出书面说明并提供相应的证明材料。</w:t>
      </w:r>
      <w:r>
        <w:rPr>
          <w:rFonts w:ascii="宋体" w:hAnsi="宋体" w:eastAsia="宋体" w:cs="宋体"/>
          <w:sz w:val="24"/>
          <w:szCs w:val="24"/>
        </w:rPr>
        <w:t xml:space="preserve"> </w:t>
      </w:r>
      <w:bookmarkStart w:id="0" w:name="bookmark1"/>
      <w:bookmarkEnd w:id="0"/>
      <w:r>
        <w:rPr>
          <w:rFonts w:ascii="宋体" w:hAnsi="宋体" w:eastAsia="宋体" w:cs="宋体"/>
          <w:spacing w:val="-3"/>
          <w:sz w:val="24"/>
          <w:szCs w:val="24"/>
        </w:rPr>
        <w:t>投标人不能合理说明或不能提供相应证明材料的，由评标委员会认定该投标人以</w:t>
      </w:r>
    </w:p>
    <w:p>
      <w:pPr>
        <w:spacing w:line="292" w:lineRule="auto"/>
        <w:rPr>
          <w:rFonts w:ascii="Arial"/>
          <w:sz w:val="21"/>
        </w:rPr>
      </w:pPr>
    </w:p>
    <w:p>
      <w:pPr>
        <w:spacing w:line="292" w:lineRule="auto"/>
        <w:rPr>
          <w:rFonts w:ascii="Arial"/>
          <w:sz w:val="21"/>
        </w:rPr>
      </w:pPr>
      <w:r>
        <w:pict>
          <v:shape id="_x0000_s1026" o:spid="_x0000_s1026" style="position:absolute;left:0pt;margin-left:0.7pt;margin-top:5.8pt;height:0pt;width:144pt;z-index:251658240;mso-width-relative:page;mso-height-relative:page;" filled="f" stroked="t" coordsize="2880,0" path="m0,0l2880,0e">
            <v:fill on="f" focussize="0,0"/>
            <v:stroke weight="0pt" color="#000000" miterlimit="0" joinstyle="bevel" endcap="square"/>
            <v:imagedata o:title=""/>
            <o:lock v:ext="edit"/>
          </v:shape>
        </w:pict>
      </w:r>
    </w:p>
    <w:p>
      <w:pPr>
        <w:spacing w:before="59" w:line="321" w:lineRule="auto"/>
        <w:ind w:left="201" w:right="156" w:hanging="174"/>
        <w:rPr>
          <w:rFonts w:ascii="宋体" w:hAnsi="宋体" w:eastAsia="宋体" w:cs="宋体"/>
          <w:sz w:val="18"/>
          <w:szCs w:val="18"/>
        </w:rPr>
      </w:pPr>
      <w:r>
        <w:rPr>
          <w:rFonts w:ascii="Times New Roman" w:hAnsi="Times New Roman" w:eastAsia="Times New Roman" w:cs="Times New Roman"/>
          <w:spacing w:val="-2"/>
          <w:position w:val="6"/>
          <w:sz w:val="11"/>
          <w:szCs w:val="11"/>
        </w:rPr>
        <w:t xml:space="preserve">1   </w:t>
      </w:r>
      <w:r>
        <w:rPr>
          <w:rFonts w:ascii="宋体" w:hAnsi="宋体" w:eastAsia="宋体" w:cs="宋体"/>
          <w:spacing w:val="-2"/>
          <w:sz w:val="18"/>
          <w:szCs w:val="18"/>
        </w:rPr>
        <w:t>如本项目招标由投标人按照招标人提供的书面工程量清单填写本合同各工程子目的单价、合价和总额价，</w:t>
      </w:r>
      <w:r>
        <w:rPr>
          <w:rFonts w:ascii="宋体" w:hAnsi="宋体" w:eastAsia="宋体" w:cs="宋体"/>
          <w:spacing w:val="18"/>
          <w:sz w:val="18"/>
          <w:szCs w:val="18"/>
        </w:rPr>
        <w:t xml:space="preserve"> </w:t>
      </w:r>
      <w:r>
        <w:rPr>
          <w:rFonts w:ascii="宋体" w:hAnsi="宋体" w:eastAsia="宋体" w:cs="宋体"/>
          <w:sz w:val="18"/>
          <w:szCs w:val="18"/>
        </w:rPr>
        <w:t>则评标委员会按照本章第</w:t>
      </w:r>
      <w:r>
        <w:rPr>
          <w:rFonts w:ascii="宋体" w:hAnsi="宋体" w:eastAsia="宋体" w:cs="宋体"/>
          <w:spacing w:val="-39"/>
          <w:sz w:val="18"/>
          <w:szCs w:val="18"/>
        </w:rPr>
        <w:t xml:space="preserve"> </w:t>
      </w:r>
      <w:r>
        <w:rPr>
          <w:rFonts w:ascii="Times New Roman" w:hAnsi="Times New Roman" w:eastAsia="Times New Roman" w:cs="Times New Roman"/>
          <w:sz w:val="18"/>
          <w:szCs w:val="18"/>
        </w:rPr>
        <w:t xml:space="preserve">3.4.2 </w:t>
      </w:r>
      <w:r>
        <w:rPr>
          <w:rFonts w:ascii="宋体" w:hAnsi="宋体" w:eastAsia="宋体" w:cs="宋体"/>
          <w:sz w:val="18"/>
          <w:szCs w:val="18"/>
        </w:rPr>
        <w:t>项和第</w:t>
      </w:r>
      <w:r>
        <w:rPr>
          <w:rFonts w:ascii="宋体" w:hAnsi="宋体" w:eastAsia="宋体" w:cs="宋体"/>
          <w:spacing w:val="-37"/>
          <w:sz w:val="18"/>
          <w:szCs w:val="18"/>
        </w:rPr>
        <w:t xml:space="preserve"> </w:t>
      </w:r>
      <w:r>
        <w:rPr>
          <w:rFonts w:ascii="Times New Roman" w:hAnsi="Times New Roman" w:eastAsia="Times New Roman" w:cs="Times New Roman"/>
          <w:sz w:val="18"/>
          <w:szCs w:val="18"/>
        </w:rPr>
        <w:t>3.4.3</w:t>
      </w:r>
      <w:r>
        <w:rPr>
          <w:rFonts w:ascii="Times New Roman" w:hAnsi="Times New Roman" w:eastAsia="Times New Roman" w:cs="Times New Roman"/>
          <w:spacing w:val="12"/>
          <w:sz w:val="18"/>
          <w:szCs w:val="18"/>
        </w:rPr>
        <w:t xml:space="preserve"> </w:t>
      </w:r>
      <w:r>
        <w:rPr>
          <w:rFonts w:ascii="宋体" w:hAnsi="宋体" w:eastAsia="宋体" w:cs="宋体"/>
          <w:sz w:val="18"/>
          <w:szCs w:val="18"/>
        </w:rPr>
        <w:t>项的规定对投标人的投标报价进行</w:t>
      </w:r>
      <w:r>
        <w:rPr>
          <w:rFonts w:ascii="宋体" w:hAnsi="宋体" w:eastAsia="宋体" w:cs="宋体"/>
          <w:spacing w:val="-1"/>
          <w:sz w:val="18"/>
          <w:szCs w:val="18"/>
        </w:rPr>
        <w:t>修正。如本项目招标由投</w:t>
      </w:r>
      <w:r>
        <w:rPr>
          <w:rFonts w:ascii="宋体" w:hAnsi="宋体" w:eastAsia="宋体" w:cs="宋体"/>
          <w:sz w:val="18"/>
          <w:szCs w:val="18"/>
        </w:rPr>
        <w:t xml:space="preserve"> 标人按照招标人提供的工程量固化清单电子文件填写工程量清单，无须按照本章第</w:t>
      </w:r>
      <w:r>
        <w:rPr>
          <w:rFonts w:ascii="宋体" w:hAnsi="宋体" w:eastAsia="宋体" w:cs="宋体"/>
          <w:spacing w:val="-37"/>
          <w:sz w:val="18"/>
          <w:szCs w:val="18"/>
        </w:rPr>
        <w:t xml:space="preserve"> </w:t>
      </w:r>
      <w:r>
        <w:rPr>
          <w:rFonts w:ascii="Times New Roman" w:hAnsi="Times New Roman" w:eastAsia="Times New Roman" w:cs="Times New Roman"/>
          <w:sz w:val="18"/>
          <w:szCs w:val="18"/>
        </w:rPr>
        <w:t xml:space="preserve">3.4.2 </w:t>
      </w:r>
      <w:r>
        <w:rPr>
          <w:rFonts w:ascii="宋体" w:hAnsi="宋体" w:eastAsia="宋体" w:cs="宋体"/>
          <w:sz w:val="18"/>
          <w:szCs w:val="18"/>
        </w:rPr>
        <w:t>项和第</w:t>
      </w:r>
      <w:r>
        <w:rPr>
          <w:rFonts w:ascii="宋体" w:hAnsi="宋体" w:eastAsia="宋体" w:cs="宋体"/>
          <w:spacing w:val="-38"/>
          <w:sz w:val="18"/>
          <w:szCs w:val="18"/>
        </w:rPr>
        <w:t xml:space="preserve"> </w:t>
      </w:r>
      <w:r>
        <w:rPr>
          <w:rFonts w:ascii="Times New Roman" w:hAnsi="Times New Roman" w:eastAsia="Times New Roman" w:cs="Times New Roman"/>
          <w:sz w:val="18"/>
          <w:szCs w:val="18"/>
        </w:rPr>
        <w:t xml:space="preserve">3.4.3 </w:t>
      </w:r>
      <w:r>
        <w:rPr>
          <w:rFonts w:ascii="宋体" w:hAnsi="宋体" w:eastAsia="宋体" w:cs="宋体"/>
          <w:sz w:val="18"/>
          <w:szCs w:val="18"/>
        </w:rPr>
        <w:t xml:space="preserve">项 </w:t>
      </w:r>
      <w:r>
        <w:rPr>
          <w:rFonts w:ascii="宋体" w:hAnsi="宋体" w:eastAsia="宋体" w:cs="宋体"/>
          <w:spacing w:val="-1"/>
          <w:sz w:val="18"/>
          <w:szCs w:val="18"/>
        </w:rPr>
        <w:t>的规定对投标报价进行修正，第</w:t>
      </w:r>
      <w:r>
        <w:rPr>
          <w:rFonts w:ascii="宋体" w:hAnsi="宋体" w:eastAsia="宋体" w:cs="宋体"/>
          <w:spacing w:val="-26"/>
          <w:sz w:val="18"/>
          <w:szCs w:val="18"/>
        </w:rPr>
        <w:t xml:space="preserve"> </w:t>
      </w:r>
      <w:r>
        <w:rPr>
          <w:rFonts w:ascii="Times New Roman" w:hAnsi="Times New Roman" w:eastAsia="Times New Roman" w:cs="Times New Roman"/>
          <w:spacing w:val="-1"/>
          <w:sz w:val="18"/>
          <w:szCs w:val="18"/>
        </w:rPr>
        <w:t xml:space="preserve">3.4.2 </w:t>
      </w:r>
      <w:r>
        <w:rPr>
          <w:rFonts w:ascii="宋体" w:hAnsi="宋体" w:eastAsia="宋体" w:cs="宋体"/>
          <w:spacing w:val="-1"/>
          <w:sz w:val="18"/>
          <w:szCs w:val="18"/>
        </w:rPr>
        <w:t>项至第</w:t>
      </w:r>
      <w:r>
        <w:rPr>
          <w:rFonts w:ascii="宋体" w:hAnsi="宋体" w:eastAsia="宋体" w:cs="宋体"/>
          <w:spacing w:val="-37"/>
          <w:sz w:val="18"/>
          <w:szCs w:val="18"/>
        </w:rPr>
        <w:t xml:space="preserve"> </w:t>
      </w:r>
      <w:r>
        <w:rPr>
          <w:rFonts w:ascii="Times New Roman" w:hAnsi="Times New Roman" w:eastAsia="Times New Roman" w:cs="Times New Roman"/>
          <w:spacing w:val="-1"/>
          <w:sz w:val="18"/>
          <w:szCs w:val="18"/>
        </w:rPr>
        <w:t xml:space="preserve">3.4.4 </w:t>
      </w:r>
      <w:r>
        <w:rPr>
          <w:rFonts w:ascii="宋体" w:hAnsi="宋体" w:eastAsia="宋体" w:cs="宋体"/>
          <w:spacing w:val="-1"/>
          <w:sz w:val="18"/>
          <w:szCs w:val="18"/>
        </w:rPr>
        <w:t>项内容不适用。</w:t>
      </w:r>
    </w:p>
    <w:p>
      <w:pPr>
        <w:spacing w:line="321" w:lineRule="auto"/>
        <w:rPr>
          <w:rFonts w:ascii="宋体" w:hAnsi="宋体" w:eastAsia="宋体" w:cs="宋体"/>
          <w:sz w:val="18"/>
          <w:szCs w:val="18"/>
        </w:rPr>
        <w:sectPr>
          <w:headerReference r:id="rId9" w:type="default"/>
          <w:pgSz w:w="11906" w:h="16839"/>
          <w:pgMar w:top="1183" w:right="1599" w:bottom="0" w:left="1785" w:header="866" w:footer="0" w:gutter="0"/>
          <w:cols w:space="720" w:num="1"/>
        </w:sectPr>
      </w:pPr>
    </w:p>
    <w:p>
      <w:pPr>
        <w:spacing w:line="300" w:lineRule="auto"/>
        <w:rPr>
          <w:rFonts w:ascii="Arial"/>
          <w:sz w:val="21"/>
        </w:rPr>
      </w:pPr>
    </w:p>
    <w:p>
      <w:pPr>
        <w:spacing w:before="78" w:line="218" w:lineRule="auto"/>
        <w:ind w:left="22"/>
        <w:rPr>
          <w:rFonts w:ascii="宋体" w:hAnsi="宋体" w:eastAsia="宋体" w:cs="宋体"/>
          <w:sz w:val="24"/>
          <w:szCs w:val="24"/>
        </w:rPr>
      </w:pPr>
      <w:r>
        <w:rPr>
          <w:rFonts w:ascii="宋体" w:hAnsi="宋体" w:eastAsia="宋体" w:cs="宋体"/>
          <w:spacing w:val="-1"/>
          <w:sz w:val="24"/>
          <w:szCs w:val="24"/>
        </w:rPr>
        <w:t>低于成本报价竞标，并否决其投标。</w:t>
      </w:r>
    </w:p>
    <w:p>
      <w:pPr>
        <w:spacing w:line="475" w:lineRule="auto"/>
        <w:rPr>
          <w:rFonts w:ascii="Arial"/>
          <w:sz w:val="21"/>
        </w:rPr>
      </w:pPr>
    </w:p>
    <w:p>
      <w:pPr>
        <w:pStyle w:val="2"/>
        <w:spacing w:before="78" w:line="222" w:lineRule="auto"/>
        <w:ind w:left="23"/>
        <w:outlineLvl w:val="0"/>
        <w:rPr>
          <w:sz w:val="24"/>
          <w:szCs w:val="24"/>
        </w:rPr>
      </w:pPr>
      <w:r>
        <w:rPr>
          <w:spacing w:val="-1"/>
          <w:sz w:val="24"/>
          <w:szCs w:val="24"/>
        </w:rPr>
        <w:t>3.6 投标文件相关信息的核查</w:t>
      </w:r>
    </w:p>
    <w:p>
      <w:pPr>
        <w:spacing w:before="232" w:line="290" w:lineRule="auto"/>
        <w:ind w:left="23" w:right="58" w:firstLine="480"/>
        <w:rPr>
          <w:rFonts w:ascii="宋体" w:hAnsi="宋体" w:eastAsia="宋体" w:cs="宋体"/>
          <w:sz w:val="24"/>
          <w:szCs w:val="24"/>
        </w:rPr>
      </w:pPr>
      <w:r>
        <w:rPr>
          <w:rFonts w:ascii="Times New Roman" w:hAnsi="Times New Roman" w:eastAsia="Times New Roman" w:cs="Times New Roman"/>
          <w:sz w:val="24"/>
          <w:szCs w:val="24"/>
        </w:rPr>
        <w:t>3.6.</w:t>
      </w:r>
      <w:r>
        <w:rPr>
          <w:rFonts w:ascii="Times New Roman" w:hAnsi="Times New Roman" w:eastAsia="Times New Roman" w:cs="Times New Roman"/>
          <w:spacing w:val="-30"/>
          <w:sz w:val="24"/>
          <w:szCs w:val="24"/>
        </w:rPr>
        <w:t xml:space="preserve"> </w:t>
      </w:r>
      <w:r>
        <w:rPr>
          <w:rFonts w:ascii="Times New Roman" w:hAnsi="Times New Roman" w:eastAsia="Times New Roman" w:cs="Times New Roman"/>
          <w:sz w:val="24"/>
          <w:szCs w:val="24"/>
        </w:rPr>
        <w:t xml:space="preserve">1  </w:t>
      </w:r>
      <w:r>
        <w:rPr>
          <w:rFonts w:ascii="宋体" w:hAnsi="宋体" w:eastAsia="宋体" w:cs="宋体"/>
          <w:sz w:val="24"/>
          <w:szCs w:val="24"/>
        </w:rPr>
        <w:t>在评标过程中，评标委员会应查询</w:t>
      </w:r>
      <w:r>
        <w:rPr>
          <w:rFonts w:ascii="宋体" w:hAnsi="宋体" w:eastAsia="宋体" w:cs="宋体"/>
          <w:spacing w:val="-1"/>
          <w:sz w:val="24"/>
          <w:szCs w:val="24"/>
        </w:rPr>
        <w:t>交通运输主管部门“公路建设市场</w:t>
      </w:r>
      <w:r>
        <w:rPr>
          <w:rFonts w:ascii="宋体" w:hAnsi="宋体" w:eastAsia="宋体" w:cs="宋体"/>
          <w:sz w:val="24"/>
          <w:szCs w:val="24"/>
        </w:rPr>
        <w:t xml:space="preserve"> </w:t>
      </w:r>
      <w:r>
        <w:rPr>
          <w:rFonts w:ascii="宋体" w:hAnsi="宋体" w:eastAsia="宋体" w:cs="宋体"/>
          <w:spacing w:val="-4"/>
          <w:sz w:val="24"/>
          <w:szCs w:val="24"/>
        </w:rPr>
        <w:t>信用信息管理系统</w:t>
      </w:r>
      <w:r>
        <w:rPr>
          <w:rFonts w:ascii="宋体" w:hAnsi="宋体" w:eastAsia="宋体" w:cs="宋体"/>
          <w:spacing w:val="-84"/>
          <w:sz w:val="24"/>
          <w:szCs w:val="24"/>
        </w:rPr>
        <w:t xml:space="preserve"> </w:t>
      </w:r>
      <w:r>
        <w:rPr>
          <w:rFonts w:ascii="宋体" w:hAnsi="宋体" w:eastAsia="宋体" w:cs="宋体"/>
          <w:spacing w:val="-4"/>
          <w:sz w:val="24"/>
          <w:szCs w:val="24"/>
        </w:rPr>
        <w:t>”，对投标人的资质、业绩、主要人员资历和目前在岗情况、</w:t>
      </w:r>
      <w:r>
        <w:rPr>
          <w:rFonts w:ascii="宋体" w:hAnsi="宋体" w:eastAsia="宋体" w:cs="宋体"/>
          <w:sz w:val="24"/>
          <w:szCs w:val="24"/>
        </w:rPr>
        <w:t xml:space="preserve"> </w:t>
      </w:r>
      <w:r>
        <w:rPr>
          <w:rFonts w:ascii="宋体" w:hAnsi="宋体" w:eastAsia="宋体" w:cs="宋体"/>
          <w:spacing w:val="-3"/>
          <w:sz w:val="24"/>
          <w:szCs w:val="24"/>
        </w:rPr>
        <w:t>信用等级等信息进行核实。若投标文件载明的信息与交通运输主管部门“公路建</w:t>
      </w:r>
      <w:r>
        <w:rPr>
          <w:rFonts w:ascii="宋体" w:hAnsi="宋体" w:eastAsia="宋体" w:cs="宋体"/>
          <w:spacing w:val="1"/>
          <w:sz w:val="24"/>
          <w:szCs w:val="24"/>
        </w:rPr>
        <w:t xml:space="preserve"> </w:t>
      </w:r>
      <w:r>
        <w:rPr>
          <w:rFonts w:ascii="宋体" w:hAnsi="宋体" w:eastAsia="宋体" w:cs="宋体"/>
          <w:spacing w:val="-4"/>
          <w:sz w:val="24"/>
          <w:szCs w:val="24"/>
        </w:rPr>
        <w:t>设市场信用信息管理系统</w:t>
      </w:r>
      <w:r>
        <w:rPr>
          <w:rFonts w:ascii="宋体" w:hAnsi="宋体" w:eastAsia="宋体" w:cs="宋体"/>
          <w:spacing w:val="-84"/>
          <w:sz w:val="24"/>
          <w:szCs w:val="24"/>
        </w:rPr>
        <w:t xml:space="preserve"> </w:t>
      </w:r>
      <w:r>
        <w:rPr>
          <w:rFonts w:ascii="宋体" w:hAnsi="宋体" w:eastAsia="宋体" w:cs="宋体"/>
          <w:spacing w:val="-4"/>
          <w:sz w:val="24"/>
          <w:szCs w:val="24"/>
        </w:rPr>
        <w:t>”发布的信息不符，使得投标人的资格条件不符合招标</w:t>
      </w:r>
      <w:r>
        <w:rPr>
          <w:rFonts w:ascii="宋体" w:hAnsi="宋体" w:eastAsia="宋体" w:cs="宋体"/>
          <w:sz w:val="24"/>
          <w:szCs w:val="24"/>
        </w:rPr>
        <w:t xml:space="preserve"> </w:t>
      </w:r>
      <w:r>
        <w:rPr>
          <w:rFonts w:ascii="宋体" w:hAnsi="宋体" w:eastAsia="宋体" w:cs="宋体"/>
          <w:spacing w:val="-1"/>
          <w:sz w:val="24"/>
          <w:szCs w:val="24"/>
        </w:rPr>
        <w:t>文件规定的，评标委员会应否决其投标。</w:t>
      </w:r>
    </w:p>
    <w:p>
      <w:pPr>
        <w:spacing w:before="115" w:line="278" w:lineRule="auto"/>
        <w:ind w:left="24" w:right="58" w:firstLine="479"/>
        <w:rPr>
          <w:rFonts w:ascii="宋体" w:hAnsi="宋体" w:eastAsia="宋体" w:cs="宋体"/>
          <w:sz w:val="24"/>
          <w:szCs w:val="24"/>
        </w:rPr>
      </w:pPr>
      <w:r>
        <w:rPr>
          <w:rFonts w:ascii="Times New Roman" w:hAnsi="Times New Roman" w:eastAsia="Times New Roman" w:cs="Times New Roman"/>
          <w:sz w:val="24"/>
          <w:szCs w:val="24"/>
        </w:rPr>
        <w:t xml:space="preserve">3.6.2  </w:t>
      </w:r>
      <w:r>
        <w:rPr>
          <w:rFonts w:ascii="宋体" w:hAnsi="宋体" w:eastAsia="宋体" w:cs="宋体"/>
          <w:sz w:val="24"/>
          <w:szCs w:val="24"/>
        </w:rPr>
        <w:t>评标委员会应对在评标过程中发现的投标人与投标人之间、投标人与</w:t>
      </w:r>
      <w:r>
        <w:rPr>
          <w:rFonts w:ascii="宋体" w:hAnsi="宋体" w:eastAsia="宋体" w:cs="宋体"/>
          <w:spacing w:val="15"/>
          <w:sz w:val="24"/>
          <w:szCs w:val="24"/>
        </w:rPr>
        <w:t xml:space="preserve"> </w:t>
      </w:r>
      <w:r>
        <w:rPr>
          <w:rFonts w:ascii="宋体" w:hAnsi="宋体" w:eastAsia="宋体" w:cs="宋体"/>
          <w:spacing w:val="-3"/>
          <w:sz w:val="24"/>
          <w:szCs w:val="24"/>
        </w:rPr>
        <w:t>招标人之间存在的串通投标的情形进行评审和认定。投标人存在串通投标、弄虚</w:t>
      </w:r>
      <w:r>
        <w:rPr>
          <w:rFonts w:ascii="宋体" w:hAnsi="宋体" w:eastAsia="宋体" w:cs="宋体"/>
          <w:sz w:val="24"/>
          <w:szCs w:val="24"/>
        </w:rPr>
        <w:t xml:space="preserve"> </w:t>
      </w:r>
      <w:r>
        <w:rPr>
          <w:rFonts w:ascii="宋体" w:hAnsi="宋体" w:eastAsia="宋体" w:cs="宋体"/>
          <w:spacing w:val="-1"/>
          <w:sz w:val="24"/>
          <w:szCs w:val="24"/>
        </w:rPr>
        <w:t>作假、行贿等违法行为的，评标委员会应否决其投标。</w:t>
      </w:r>
    </w:p>
    <w:p>
      <w:pPr>
        <w:spacing w:before="113" w:line="279" w:lineRule="auto"/>
        <w:ind w:left="493" w:right="2260" w:firstLine="21"/>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）有下列情形之一的，属于投标人相互串通投标：</w:t>
      </w:r>
      <w:r>
        <w:rPr>
          <w:rFonts w:ascii="宋体" w:hAnsi="宋体" w:eastAsia="宋体" w:cs="宋体"/>
          <w:spacing w:val="10"/>
          <w:sz w:val="24"/>
          <w:szCs w:val="24"/>
        </w:rPr>
        <w:t xml:space="preserve"> </w:t>
      </w:r>
      <w:r>
        <w:rPr>
          <w:rFonts w:ascii="Times New Roman" w:hAnsi="Times New Roman" w:eastAsia="Times New Roman" w:cs="Times New Roman"/>
          <w:spacing w:val="-3"/>
          <w:sz w:val="24"/>
          <w:szCs w:val="24"/>
        </w:rPr>
        <w:t>a.</w:t>
      </w:r>
      <w:r>
        <w:rPr>
          <w:rFonts w:ascii="宋体" w:hAnsi="宋体" w:eastAsia="宋体" w:cs="宋体"/>
          <w:spacing w:val="-3"/>
          <w:sz w:val="24"/>
          <w:szCs w:val="24"/>
        </w:rPr>
        <w:t>投标人之间协商投标报价等投标文件的实质性内容；</w:t>
      </w:r>
      <w:r>
        <w:rPr>
          <w:rFonts w:ascii="宋体" w:hAnsi="宋体" w:eastAsia="宋体" w:cs="宋体"/>
          <w:spacing w:val="12"/>
          <w:sz w:val="24"/>
          <w:szCs w:val="24"/>
        </w:rPr>
        <w:t xml:space="preserve"> </w:t>
      </w:r>
      <w:r>
        <w:rPr>
          <w:rFonts w:ascii="Times New Roman" w:hAnsi="Times New Roman" w:eastAsia="Times New Roman" w:cs="Times New Roman"/>
          <w:sz w:val="24"/>
          <w:szCs w:val="24"/>
        </w:rPr>
        <w:t>b.</w:t>
      </w:r>
      <w:r>
        <w:rPr>
          <w:rFonts w:ascii="宋体" w:hAnsi="宋体" w:eastAsia="宋体" w:cs="宋体"/>
          <w:sz w:val="24"/>
          <w:szCs w:val="24"/>
        </w:rPr>
        <w:t>投标人之间约定中标人；</w:t>
      </w:r>
    </w:p>
    <w:p>
      <w:pPr>
        <w:spacing w:before="113" w:line="219" w:lineRule="auto"/>
        <w:ind w:left="502"/>
        <w:rPr>
          <w:rFonts w:ascii="宋体" w:hAnsi="宋体" w:eastAsia="宋体" w:cs="宋体"/>
          <w:sz w:val="24"/>
          <w:szCs w:val="24"/>
        </w:rPr>
      </w:pPr>
      <w:r>
        <w:rPr>
          <w:rFonts w:ascii="Times New Roman" w:hAnsi="Times New Roman" w:eastAsia="Times New Roman" w:cs="Times New Roman"/>
          <w:spacing w:val="-1"/>
          <w:sz w:val="24"/>
          <w:szCs w:val="24"/>
        </w:rPr>
        <w:t>c.</w:t>
      </w:r>
      <w:r>
        <w:rPr>
          <w:rFonts w:ascii="宋体" w:hAnsi="宋体" w:eastAsia="宋体" w:cs="宋体"/>
          <w:spacing w:val="-1"/>
          <w:sz w:val="24"/>
          <w:szCs w:val="24"/>
        </w:rPr>
        <w:t>投标人之间约定部分投标人放弃投标或中标；</w:t>
      </w:r>
    </w:p>
    <w:p>
      <w:pPr>
        <w:spacing w:before="115" w:line="295" w:lineRule="auto"/>
        <w:ind w:left="502"/>
        <w:rPr>
          <w:rFonts w:ascii="宋体" w:hAnsi="宋体" w:eastAsia="宋体" w:cs="宋体"/>
          <w:sz w:val="24"/>
          <w:szCs w:val="24"/>
        </w:rPr>
      </w:pPr>
      <w:r>
        <w:rPr>
          <w:rFonts w:ascii="Times New Roman" w:hAnsi="Times New Roman" w:eastAsia="Times New Roman" w:cs="Times New Roman"/>
          <w:spacing w:val="-6"/>
          <w:sz w:val="24"/>
          <w:szCs w:val="24"/>
        </w:rPr>
        <w:t>d.</w:t>
      </w:r>
      <w:r>
        <w:rPr>
          <w:rFonts w:ascii="宋体" w:hAnsi="宋体" w:eastAsia="宋体" w:cs="宋体"/>
          <w:spacing w:val="-6"/>
          <w:sz w:val="24"/>
          <w:szCs w:val="24"/>
        </w:rPr>
        <w:t>属于同一集团、协会、商会等组织成员的投</w:t>
      </w:r>
      <w:r>
        <w:rPr>
          <w:rFonts w:ascii="宋体" w:hAnsi="宋体" w:eastAsia="宋体" w:cs="宋体"/>
          <w:spacing w:val="-7"/>
          <w:sz w:val="24"/>
          <w:szCs w:val="24"/>
        </w:rPr>
        <w:t>标人按照该组织要求协同投标；</w:t>
      </w:r>
      <w:r>
        <w:rPr>
          <w:rFonts w:ascii="宋体" w:hAnsi="宋体" w:eastAsia="宋体" w:cs="宋体"/>
          <w:sz w:val="24"/>
          <w:szCs w:val="24"/>
        </w:rPr>
        <w:t xml:space="preserve"> </w:t>
      </w:r>
      <w:r>
        <w:rPr>
          <w:rFonts w:ascii="Times New Roman" w:hAnsi="Times New Roman" w:eastAsia="Times New Roman" w:cs="Times New Roman"/>
          <w:sz w:val="24"/>
          <w:szCs w:val="24"/>
        </w:rPr>
        <w:t>e.</w:t>
      </w:r>
      <w:r>
        <w:rPr>
          <w:rFonts w:ascii="宋体" w:hAnsi="宋体" w:eastAsia="宋体" w:cs="宋体"/>
          <w:sz w:val="24"/>
          <w:szCs w:val="24"/>
        </w:rPr>
        <w:t>投标人之间为谋取中标或排斥特定投标人</w:t>
      </w:r>
      <w:r>
        <w:rPr>
          <w:rFonts w:ascii="宋体" w:hAnsi="宋体" w:eastAsia="宋体" w:cs="宋体"/>
          <w:spacing w:val="-1"/>
          <w:sz w:val="24"/>
          <w:szCs w:val="24"/>
        </w:rPr>
        <w:t>而采取的其他联合行动。</w:t>
      </w:r>
    </w:p>
    <w:p>
      <w:pPr>
        <w:spacing w:before="33" w:line="295" w:lineRule="auto"/>
        <w:ind w:left="502" w:right="2305" w:firstLine="12"/>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）有下列情形之一的，视为投标人相互串通投标：</w:t>
      </w:r>
      <w:r>
        <w:rPr>
          <w:rFonts w:ascii="宋体" w:hAnsi="宋体" w:eastAsia="宋体" w:cs="宋体"/>
          <w:spacing w:val="13"/>
          <w:sz w:val="24"/>
          <w:szCs w:val="24"/>
        </w:rPr>
        <w:t xml:space="preserve"> </w:t>
      </w:r>
      <w:r>
        <w:rPr>
          <w:rFonts w:ascii="Times New Roman" w:hAnsi="Times New Roman" w:eastAsia="Times New Roman" w:cs="Times New Roman"/>
          <w:spacing w:val="-1"/>
          <w:sz w:val="24"/>
          <w:szCs w:val="24"/>
        </w:rPr>
        <w:t>a.</w:t>
      </w:r>
      <w:r>
        <w:rPr>
          <w:rFonts w:ascii="宋体" w:hAnsi="宋体" w:eastAsia="宋体" w:cs="宋体"/>
          <w:spacing w:val="-1"/>
          <w:sz w:val="24"/>
          <w:szCs w:val="24"/>
        </w:rPr>
        <w:t>不同投标人的投标文件由同一单位或个人编制；</w:t>
      </w:r>
    </w:p>
    <w:p>
      <w:pPr>
        <w:spacing w:before="35" w:line="219" w:lineRule="auto"/>
        <w:ind w:left="493"/>
        <w:rPr>
          <w:rFonts w:ascii="宋体" w:hAnsi="宋体" w:eastAsia="宋体" w:cs="宋体"/>
          <w:sz w:val="24"/>
          <w:szCs w:val="24"/>
        </w:rPr>
      </w:pPr>
      <w:r>
        <w:rPr>
          <w:rFonts w:ascii="Times New Roman" w:hAnsi="Times New Roman" w:eastAsia="Times New Roman" w:cs="Times New Roman"/>
          <w:sz w:val="24"/>
          <w:szCs w:val="24"/>
        </w:rPr>
        <w:t>b.</w:t>
      </w:r>
      <w:r>
        <w:rPr>
          <w:rFonts w:ascii="宋体" w:hAnsi="宋体" w:eastAsia="宋体" w:cs="宋体"/>
          <w:sz w:val="24"/>
          <w:szCs w:val="24"/>
        </w:rPr>
        <w:t>不同投标人委托同一单位或个人办理投标事宜；</w:t>
      </w:r>
    </w:p>
    <w:p>
      <w:pPr>
        <w:spacing w:before="114" w:line="219" w:lineRule="auto"/>
        <w:ind w:left="502"/>
        <w:rPr>
          <w:rFonts w:ascii="宋体" w:hAnsi="宋体" w:eastAsia="宋体" w:cs="宋体"/>
          <w:sz w:val="24"/>
          <w:szCs w:val="24"/>
        </w:rPr>
      </w:pPr>
      <w:r>
        <w:rPr>
          <w:rFonts w:ascii="Times New Roman" w:hAnsi="Times New Roman" w:eastAsia="Times New Roman" w:cs="Times New Roman"/>
          <w:spacing w:val="-1"/>
          <w:sz w:val="24"/>
          <w:szCs w:val="24"/>
        </w:rPr>
        <w:t>c.</w:t>
      </w:r>
      <w:r>
        <w:rPr>
          <w:rFonts w:ascii="宋体" w:hAnsi="宋体" w:eastAsia="宋体" w:cs="宋体"/>
          <w:spacing w:val="-1"/>
          <w:sz w:val="24"/>
          <w:szCs w:val="24"/>
        </w:rPr>
        <w:t>不同投标人的投标文件载明的项目管理成员为同一人；</w:t>
      </w:r>
    </w:p>
    <w:p>
      <w:pPr>
        <w:spacing w:before="115" w:line="295" w:lineRule="auto"/>
        <w:ind w:left="502" w:right="1526"/>
        <w:rPr>
          <w:rFonts w:ascii="宋体" w:hAnsi="宋体" w:eastAsia="宋体" w:cs="宋体"/>
          <w:sz w:val="24"/>
          <w:szCs w:val="24"/>
        </w:rPr>
      </w:pPr>
      <w:r>
        <w:rPr>
          <w:rFonts w:ascii="Times New Roman" w:hAnsi="Times New Roman" w:eastAsia="Times New Roman" w:cs="Times New Roman"/>
          <w:spacing w:val="-3"/>
          <w:sz w:val="24"/>
          <w:szCs w:val="24"/>
        </w:rPr>
        <w:t>d.</w:t>
      </w:r>
      <w:r>
        <w:rPr>
          <w:rFonts w:ascii="宋体" w:hAnsi="宋体" w:eastAsia="宋体" w:cs="宋体"/>
          <w:spacing w:val="-3"/>
          <w:sz w:val="24"/>
          <w:szCs w:val="24"/>
        </w:rPr>
        <w:t>不同投标人的投标文件异常一致或投标报价呈规律性差异；</w:t>
      </w:r>
      <w:r>
        <w:rPr>
          <w:rFonts w:ascii="宋体" w:hAnsi="宋体" w:eastAsia="宋体" w:cs="宋体"/>
          <w:spacing w:val="13"/>
          <w:sz w:val="24"/>
          <w:szCs w:val="24"/>
        </w:rPr>
        <w:t xml:space="preserve"> </w:t>
      </w:r>
      <w:r>
        <w:rPr>
          <w:rFonts w:ascii="Times New Roman" w:hAnsi="Times New Roman" w:eastAsia="Times New Roman" w:cs="Times New Roman"/>
          <w:spacing w:val="-1"/>
          <w:sz w:val="24"/>
          <w:szCs w:val="24"/>
        </w:rPr>
        <w:t>e.</w:t>
      </w:r>
      <w:r>
        <w:rPr>
          <w:rFonts w:ascii="宋体" w:hAnsi="宋体" w:eastAsia="宋体" w:cs="宋体"/>
          <w:spacing w:val="-1"/>
          <w:sz w:val="24"/>
          <w:szCs w:val="24"/>
        </w:rPr>
        <w:t>不同投标人的投标文件相互混装；</w:t>
      </w:r>
    </w:p>
    <w:p>
      <w:pPr>
        <w:spacing w:before="33" w:line="219" w:lineRule="auto"/>
        <w:ind w:left="503"/>
        <w:rPr>
          <w:rFonts w:ascii="宋体" w:hAnsi="宋体" w:eastAsia="宋体" w:cs="宋体"/>
          <w:sz w:val="24"/>
          <w:szCs w:val="24"/>
        </w:rPr>
      </w:pPr>
      <w:r>
        <w:rPr>
          <w:rFonts w:ascii="Times New Roman" w:hAnsi="Times New Roman" w:eastAsia="Times New Roman" w:cs="Times New Roman"/>
          <w:spacing w:val="-1"/>
          <w:sz w:val="24"/>
          <w:szCs w:val="24"/>
        </w:rPr>
        <w:t>f.</w:t>
      </w:r>
      <w:r>
        <w:rPr>
          <w:rFonts w:ascii="宋体" w:hAnsi="宋体" w:eastAsia="宋体" w:cs="宋体"/>
          <w:spacing w:val="-1"/>
          <w:sz w:val="24"/>
          <w:szCs w:val="24"/>
        </w:rPr>
        <w:t>不同投标人的投标保证金从同一单位或个人的账户转出。</w:t>
      </w:r>
    </w:p>
    <w:p>
      <w:pPr>
        <w:spacing w:before="116" w:line="220" w:lineRule="auto"/>
        <w:ind w:left="514"/>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）有下列情形之一的，属于招标人与投标人串通投标：</w:t>
      </w:r>
    </w:p>
    <w:p>
      <w:pPr>
        <w:spacing w:before="116" w:line="297" w:lineRule="auto"/>
        <w:ind w:left="493" w:right="1046" w:firstLine="8"/>
        <w:rPr>
          <w:rFonts w:ascii="宋体" w:hAnsi="宋体" w:eastAsia="宋体" w:cs="宋体"/>
          <w:sz w:val="24"/>
          <w:szCs w:val="24"/>
        </w:rPr>
      </w:pPr>
      <w:r>
        <w:rPr>
          <w:rFonts w:ascii="Times New Roman" w:hAnsi="Times New Roman" w:eastAsia="Times New Roman" w:cs="Times New Roman"/>
          <w:sz w:val="24"/>
          <w:szCs w:val="24"/>
        </w:rPr>
        <w:t>a.</w:t>
      </w:r>
      <w:r>
        <w:rPr>
          <w:rFonts w:ascii="宋体" w:hAnsi="宋体" w:eastAsia="宋体" w:cs="宋体"/>
          <w:sz w:val="24"/>
          <w:szCs w:val="24"/>
        </w:rPr>
        <w:t>招标人在开标前开启投标文件并将有关</w:t>
      </w:r>
      <w:r>
        <w:rPr>
          <w:rFonts w:ascii="宋体" w:hAnsi="宋体" w:eastAsia="宋体" w:cs="宋体"/>
          <w:spacing w:val="-1"/>
          <w:sz w:val="24"/>
          <w:szCs w:val="24"/>
        </w:rPr>
        <w:t>信息泄露给其他投标人</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2"/>
          <w:sz w:val="24"/>
          <w:szCs w:val="24"/>
        </w:rPr>
        <w:t>b.</w:t>
      </w:r>
      <w:r>
        <w:rPr>
          <w:rFonts w:ascii="宋体" w:hAnsi="宋体" w:eastAsia="宋体" w:cs="宋体"/>
          <w:spacing w:val="-2"/>
          <w:sz w:val="24"/>
          <w:szCs w:val="24"/>
        </w:rPr>
        <w:t>招标人直接或间接向投标人泄露标底、评标委员会成员等信</w:t>
      </w:r>
      <w:r>
        <w:rPr>
          <w:rFonts w:ascii="宋体" w:hAnsi="宋体" w:eastAsia="宋体" w:cs="宋体"/>
          <w:spacing w:val="-3"/>
          <w:sz w:val="24"/>
          <w:szCs w:val="24"/>
        </w:rPr>
        <w:t>息；</w:t>
      </w:r>
      <w:r>
        <w:rPr>
          <w:rFonts w:ascii="宋体" w:hAnsi="宋体" w:eastAsia="宋体" w:cs="宋体"/>
          <w:sz w:val="24"/>
          <w:szCs w:val="24"/>
        </w:rPr>
        <w:t xml:space="preserve"> </w:t>
      </w:r>
      <w:r>
        <w:rPr>
          <w:rFonts w:ascii="Times New Roman" w:hAnsi="Times New Roman" w:eastAsia="Times New Roman" w:cs="Times New Roman"/>
          <w:sz w:val="24"/>
          <w:szCs w:val="24"/>
        </w:rPr>
        <w:t>c.</w:t>
      </w:r>
      <w:r>
        <w:rPr>
          <w:rFonts w:ascii="宋体" w:hAnsi="宋体" w:eastAsia="宋体" w:cs="宋体"/>
          <w:sz w:val="24"/>
          <w:szCs w:val="24"/>
        </w:rPr>
        <w:t>招标人明示或暗示投标人压低或抬高投标报</w:t>
      </w:r>
      <w:r>
        <w:rPr>
          <w:rFonts w:ascii="宋体" w:hAnsi="宋体" w:eastAsia="宋体" w:cs="宋体"/>
          <w:spacing w:val="-1"/>
          <w:sz w:val="24"/>
          <w:szCs w:val="24"/>
        </w:rPr>
        <w:t>价；</w:t>
      </w:r>
    </w:p>
    <w:p>
      <w:pPr>
        <w:spacing w:before="40" w:line="219" w:lineRule="auto"/>
        <w:ind w:left="502"/>
        <w:rPr>
          <w:rFonts w:ascii="宋体" w:hAnsi="宋体" w:eastAsia="宋体" w:cs="宋体"/>
          <w:sz w:val="24"/>
          <w:szCs w:val="24"/>
        </w:rPr>
      </w:pPr>
      <w:r>
        <w:rPr>
          <w:rFonts w:ascii="Times New Roman" w:hAnsi="Times New Roman" w:eastAsia="Times New Roman" w:cs="Times New Roman"/>
          <w:spacing w:val="-1"/>
          <w:sz w:val="24"/>
          <w:szCs w:val="24"/>
        </w:rPr>
        <w:t>d.</w:t>
      </w:r>
      <w:r>
        <w:rPr>
          <w:rFonts w:ascii="宋体" w:hAnsi="宋体" w:eastAsia="宋体" w:cs="宋体"/>
          <w:spacing w:val="-1"/>
          <w:sz w:val="24"/>
          <w:szCs w:val="24"/>
        </w:rPr>
        <w:t>招标人授意投标人撤换、修改投标文件；</w:t>
      </w:r>
    </w:p>
    <w:p>
      <w:pPr>
        <w:spacing w:before="113" w:line="219" w:lineRule="auto"/>
        <w:ind w:left="502"/>
        <w:rPr>
          <w:rFonts w:ascii="宋体" w:hAnsi="宋体" w:eastAsia="宋体" w:cs="宋体"/>
          <w:sz w:val="24"/>
          <w:szCs w:val="24"/>
        </w:rPr>
      </w:pPr>
      <w:r>
        <w:rPr>
          <w:rFonts w:ascii="Times New Roman" w:hAnsi="Times New Roman" w:eastAsia="Times New Roman" w:cs="Times New Roman"/>
          <w:spacing w:val="-1"/>
          <w:sz w:val="24"/>
          <w:szCs w:val="24"/>
        </w:rPr>
        <w:t>e.</w:t>
      </w:r>
      <w:r>
        <w:rPr>
          <w:rFonts w:ascii="宋体" w:hAnsi="宋体" w:eastAsia="宋体" w:cs="宋体"/>
          <w:spacing w:val="-1"/>
          <w:sz w:val="24"/>
          <w:szCs w:val="24"/>
        </w:rPr>
        <w:t>招标人明示或暗示投标人为特定投标人中标提供方便；</w:t>
      </w:r>
    </w:p>
    <w:p>
      <w:pPr>
        <w:spacing w:before="116" w:line="295" w:lineRule="auto"/>
        <w:ind w:left="514" w:right="1065" w:hanging="11"/>
        <w:rPr>
          <w:rFonts w:ascii="宋体" w:hAnsi="宋体" w:eastAsia="宋体" w:cs="宋体"/>
          <w:sz w:val="24"/>
          <w:szCs w:val="24"/>
        </w:rPr>
      </w:pPr>
      <w:r>
        <w:rPr>
          <w:rFonts w:ascii="Times New Roman" w:hAnsi="Times New Roman" w:eastAsia="Times New Roman" w:cs="Times New Roman"/>
          <w:spacing w:val="-2"/>
          <w:sz w:val="24"/>
          <w:szCs w:val="24"/>
        </w:rPr>
        <w:t>f.</w:t>
      </w:r>
      <w:r>
        <w:rPr>
          <w:rFonts w:ascii="宋体" w:hAnsi="宋体" w:eastAsia="宋体" w:cs="宋体"/>
          <w:spacing w:val="-2"/>
          <w:sz w:val="24"/>
          <w:szCs w:val="24"/>
        </w:rPr>
        <w:t>招标人与投标人为谋求特定投标人中标而采取的其他串通行为。</w:t>
      </w:r>
      <w:r>
        <w:rPr>
          <w:rFonts w:ascii="宋体" w:hAnsi="宋体" w:eastAsia="宋体" w:cs="宋体"/>
          <w:spacing w:val="9"/>
          <w:sz w:val="24"/>
          <w:szCs w:val="24"/>
        </w:rPr>
        <w:t xml:space="preserve"> </w:t>
      </w:r>
      <w:r>
        <w:rPr>
          <w:rFonts w:ascii="宋体" w:hAnsi="宋体" w:eastAsia="宋体" w:cs="宋体"/>
          <w:spacing w:val="-1"/>
          <w:sz w:val="24"/>
          <w:szCs w:val="24"/>
        </w:rPr>
        <w:t>（</w:t>
      </w:r>
      <w:r>
        <w:rPr>
          <w:rFonts w:ascii="Times New Roman" w:hAnsi="Times New Roman" w:eastAsia="Times New Roman" w:cs="Times New Roman"/>
          <w:spacing w:val="-1"/>
          <w:sz w:val="24"/>
          <w:szCs w:val="24"/>
        </w:rPr>
        <w:t>4</w:t>
      </w:r>
      <w:r>
        <w:rPr>
          <w:rFonts w:ascii="宋体" w:hAnsi="宋体" w:eastAsia="宋体" w:cs="宋体"/>
          <w:spacing w:val="-1"/>
          <w:sz w:val="24"/>
          <w:szCs w:val="24"/>
        </w:rPr>
        <w:t>）投标人有下列情形之一的，属于弄虚作假的行为：</w:t>
      </w:r>
    </w:p>
    <w:p>
      <w:pPr>
        <w:spacing w:before="33" w:line="219" w:lineRule="auto"/>
        <w:ind w:left="502"/>
        <w:rPr>
          <w:rFonts w:ascii="宋体" w:hAnsi="宋体" w:eastAsia="宋体" w:cs="宋体"/>
          <w:sz w:val="24"/>
          <w:szCs w:val="24"/>
        </w:rPr>
      </w:pPr>
      <w:r>
        <w:rPr>
          <w:rFonts w:ascii="Times New Roman" w:hAnsi="Times New Roman" w:eastAsia="Times New Roman" w:cs="Times New Roman"/>
          <w:spacing w:val="-1"/>
          <w:sz w:val="24"/>
          <w:szCs w:val="24"/>
        </w:rPr>
        <w:t>a.</w:t>
      </w:r>
      <w:r>
        <w:rPr>
          <w:rFonts w:ascii="宋体" w:hAnsi="宋体" w:eastAsia="宋体" w:cs="宋体"/>
          <w:spacing w:val="-1"/>
          <w:sz w:val="24"/>
          <w:szCs w:val="24"/>
        </w:rPr>
        <w:t>使用通过受让或租借等方式获取的资格、资质证书投标；</w:t>
      </w:r>
    </w:p>
    <w:p>
      <w:pPr>
        <w:spacing w:before="117" w:line="219" w:lineRule="auto"/>
        <w:ind w:left="493"/>
        <w:rPr>
          <w:rFonts w:ascii="宋体" w:hAnsi="宋体" w:eastAsia="宋体" w:cs="宋体"/>
          <w:sz w:val="24"/>
          <w:szCs w:val="24"/>
        </w:rPr>
      </w:pPr>
      <w:r>
        <w:rPr>
          <w:rFonts w:ascii="Times New Roman" w:hAnsi="Times New Roman" w:eastAsia="Times New Roman" w:cs="Times New Roman"/>
          <w:sz w:val="24"/>
          <w:szCs w:val="24"/>
        </w:rPr>
        <w:t>b.</w:t>
      </w:r>
      <w:r>
        <w:rPr>
          <w:rFonts w:ascii="宋体" w:hAnsi="宋体" w:eastAsia="宋体" w:cs="宋体"/>
          <w:sz w:val="24"/>
          <w:szCs w:val="24"/>
        </w:rPr>
        <w:t>使用伪造、变造的许可证件；</w:t>
      </w:r>
    </w:p>
    <w:p>
      <w:pPr>
        <w:spacing w:before="115" w:line="219" w:lineRule="auto"/>
        <w:ind w:left="502"/>
        <w:rPr>
          <w:rFonts w:ascii="宋体" w:hAnsi="宋体" w:eastAsia="宋体" w:cs="宋体"/>
          <w:sz w:val="24"/>
          <w:szCs w:val="24"/>
        </w:rPr>
      </w:pPr>
      <w:r>
        <w:rPr>
          <w:rFonts w:ascii="Times New Roman" w:hAnsi="Times New Roman" w:eastAsia="Times New Roman" w:cs="Times New Roman"/>
          <w:spacing w:val="-1"/>
          <w:sz w:val="24"/>
          <w:szCs w:val="24"/>
        </w:rPr>
        <w:t>c.</w:t>
      </w:r>
      <w:r>
        <w:rPr>
          <w:rFonts w:ascii="宋体" w:hAnsi="宋体" w:eastAsia="宋体" w:cs="宋体"/>
          <w:spacing w:val="-1"/>
          <w:sz w:val="24"/>
          <w:szCs w:val="24"/>
        </w:rPr>
        <w:t>提供虚假的财务状况或业绩；</w:t>
      </w:r>
    </w:p>
    <w:p>
      <w:pPr>
        <w:spacing w:before="113" w:line="219" w:lineRule="auto"/>
        <w:ind w:left="502"/>
        <w:rPr>
          <w:rFonts w:ascii="宋体" w:hAnsi="宋体" w:eastAsia="宋体" w:cs="宋体"/>
          <w:sz w:val="24"/>
          <w:szCs w:val="24"/>
        </w:rPr>
      </w:pPr>
      <w:r>
        <w:rPr>
          <w:rFonts w:ascii="Times New Roman" w:hAnsi="Times New Roman" w:eastAsia="Times New Roman" w:cs="Times New Roman"/>
          <w:sz w:val="24"/>
          <w:szCs w:val="24"/>
        </w:rPr>
        <w:t>d.</w:t>
      </w:r>
      <w:r>
        <w:rPr>
          <w:rFonts w:ascii="宋体" w:hAnsi="宋体" w:eastAsia="宋体" w:cs="宋体"/>
          <w:sz w:val="24"/>
          <w:szCs w:val="24"/>
        </w:rPr>
        <w:t>提供虚假的项目负责人或主要技术人员简</w:t>
      </w:r>
      <w:r>
        <w:rPr>
          <w:rFonts w:ascii="宋体" w:hAnsi="宋体" w:eastAsia="宋体" w:cs="宋体"/>
          <w:spacing w:val="-1"/>
          <w:sz w:val="24"/>
          <w:szCs w:val="24"/>
        </w:rPr>
        <w:t>历、劳动关系证明；</w:t>
      </w:r>
    </w:p>
    <w:p>
      <w:pPr>
        <w:spacing w:line="219" w:lineRule="auto"/>
        <w:rPr>
          <w:rFonts w:ascii="宋体" w:hAnsi="宋体" w:eastAsia="宋体" w:cs="宋体"/>
          <w:sz w:val="24"/>
          <w:szCs w:val="24"/>
        </w:rPr>
        <w:sectPr>
          <w:headerReference r:id="rId10" w:type="default"/>
          <w:pgSz w:w="11906" w:h="16839"/>
          <w:pgMar w:top="1183" w:right="1740" w:bottom="0" w:left="1785" w:header="866" w:footer="0" w:gutter="0"/>
          <w:cols w:space="720" w:num="1"/>
        </w:sectPr>
      </w:pPr>
    </w:p>
    <w:p>
      <w:pPr>
        <w:spacing w:line="299" w:lineRule="auto"/>
        <w:rPr>
          <w:rFonts w:ascii="Arial"/>
          <w:sz w:val="21"/>
        </w:rPr>
      </w:pPr>
    </w:p>
    <w:p>
      <w:pPr>
        <w:spacing w:before="78" w:line="295" w:lineRule="auto"/>
        <w:ind w:left="502" w:right="5402"/>
        <w:rPr>
          <w:rFonts w:ascii="宋体" w:hAnsi="宋体" w:eastAsia="宋体" w:cs="宋体"/>
          <w:sz w:val="24"/>
          <w:szCs w:val="24"/>
        </w:rPr>
      </w:pPr>
      <w:r>
        <w:rPr>
          <w:rFonts w:ascii="Times New Roman" w:hAnsi="Times New Roman" w:eastAsia="Times New Roman" w:cs="Times New Roman"/>
          <w:spacing w:val="-6"/>
          <w:sz w:val="24"/>
          <w:szCs w:val="24"/>
        </w:rPr>
        <w:t>e.</w:t>
      </w:r>
      <w:r>
        <w:rPr>
          <w:rFonts w:ascii="宋体" w:hAnsi="宋体" w:eastAsia="宋体" w:cs="宋体"/>
          <w:spacing w:val="-6"/>
          <w:sz w:val="24"/>
          <w:szCs w:val="24"/>
        </w:rPr>
        <w:t>提供虚假的信用状况；</w:t>
      </w:r>
      <w:r>
        <w:rPr>
          <w:rFonts w:ascii="宋体" w:hAnsi="宋体" w:eastAsia="宋体" w:cs="宋体"/>
          <w:sz w:val="24"/>
          <w:szCs w:val="24"/>
        </w:rPr>
        <w:t xml:space="preserve"> </w:t>
      </w:r>
      <w:r>
        <w:rPr>
          <w:rFonts w:ascii="Times New Roman" w:hAnsi="Times New Roman" w:eastAsia="Times New Roman" w:cs="Times New Roman"/>
          <w:spacing w:val="-4"/>
          <w:sz w:val="24"/>
          <w:szCs w:val="24"/>
        </w:rPr>
        <w:t>f.</w:t>
      </w:r>
      <w:r>
        <w:rPr>
          <w:rFonts w:ascii="宋体" w:hAnsi="宋体" w:eastAsia="宋体" w:cs="宋体"/>
          <w:spacing w:val="-4"/>
          <w:sz w:val="24"/>
          <w:szCs w:val="24"/>
        </w:rPr>
        <w:t>其他弄虚作假的行为。</w:t>
      </w:r>
    </w:p>
    <w:p>
      <w:pPr>
        <w:pStyle w:val="2"/>
        <w:spacing w:before="35" w:line="221" w:lineRule="auto"/>
        <w:ind w:left="23"/>
        <w:outlineLvl w:val="0"/>
        <w:rPr>
          <w:sz w:val="24"/>
          <w:szCs w:val="24"/>
        </w:rPr>
      </w:pPr>
      <w:r>
        <w:rPr>
          <w:spacing w:val="-1"/>
          <w:sz w:val="24"/>
          <w:szCs w:val="24"/>
        </w:rPr>
        <w:t>3.7 投标文件的澄清和说明</w:t>
      </w:r>
    </w:p>
    <w:p>
      <w:pPr>
        <w:spacing w:before="113" w:line="285" w:lineRule="auto"/>
        <w:ind w:left="22" w:right="80" w:firstLine="481"/>
        <w:rPr>
          <w:rFonts w:ascii="宋体" w:hAnsi="宋体" w:eastAsia="宋体" w:cs="宋体"/>
          <w:sz w:val="24"/>
          <w:szCs w:val="24"/>
        </w:rPr>
      </w:pPr>
      <w:r>
        <w:rPr>
          <w:rFonts w:ascii="Times New Roman" w:hAnsi="Times New Roman" w:eastAsia="Times New Roman" w:cs="Times New Roman"/>
          <w:sz w:val="24"/>
          <w:szCs w:val="24"/>
        </w:rPr>
        <w:t>3.7.</w:t>
      </w:r>
      <w:r>
        <w:rPr>
          <w:rFonts w:ascii="Times New Roman" w:hAnsi="Times New Roman" w:eastAsia="Times New Roman" w:cs="Times New Roman"/>
          <w:spacing w:val="-30"/>
          <w:sz w:val="24"/>
          <w:szCs w:val="24"/>
        </w:rPr>
        <w:t xml:space="preserve"> </w:t>
      </w:r>
      <w:r>
        <w:rPr>
          <w:rFonts w:ascii="Times New Roman" w:hAnsi="Times New Roman" w:eastAsia="Times New Roman" w:cs="Times New Roman"/>
          <w:sz w:val="24"/>
          <w:szCs w:val="24"/>
        </w:rPr>
        <w:t xml:space="preserve">1  </w:t>
      </w:r>
      <w:r>
        <w:rPr>
          <w:rFonts w:ascii="宋体" w:hAnsi="宋体" w:eastAsia="宋体" w:cs="宋体"/>
          <w:sz w:val="24"/>
          <w:szCs w:val="24"/>
        </w:rPr>
        <w:t>在评标过程中，评标委员会可以书</w:t>
      </w:r>
      <w:r>
        <w:rPr>
          <w:rFonts w:ascii="宋体" w:hAnsi="宋体" w:eastAsia="宋体" w:cs="宋体"/>
          <w:spacing w:val="-1"/>
          <w:sz w:val="24"/>
          <w:szCs w:val="24"/>
        </w:rPr>
        <w:t>面形式要求投标人对投标文件中含</w:t>
      </w:r>
      <w:r>
        <w:rPr>
          <w:rFonts w:ascii="宋体" w:hAnsi="宋体" w:eastAsia="宋体" w:cs="宋体"/>
          <w:sz w:val="24"/>
          <w:szCs w:val="24"/>
        </w:rPr>
        <w:t xml:space="preserve"> </w:t>
      </w:r>
      <w:r>
        <w:rPr>
          <w:rFonts w:ascii="宋体" w:hAnsi="宋体" w:eastAsia="宋体" w:cs="宋体"/>
          <w:spacing w:val="-3"/>
          <w:sz w:val="24"/>
          <w:szCs w:val="24"/>
        </w:rPr>
        <w:t>义不明确的内容、明显文字或计算错误进行书面澄清或说明。评标委员会不接受</w:t>
      </w:r>
      <w:r>
        <w:rPr>
          <w:rFonts w:ascii="宋体" w:hAnsi="宋体" w:eastAsia="宋体" w:cs="宋体"/>
          <w:spacing w:val="1"/>
          <w:sz w:val="24"/>
          <w:szCs w:val="24"/>
        </w:rPr>
        <w:t xml:space="preserve"> </w:t>
      </w:r>
      <w:r>
        <w:rPr>
          <w:rFonts w:ascii="宋体" w:hAnsi="宋体" w:eastAsia="宋体" w:cs="宋体"/>
          <w:spacing w:val="-3"/>
          <w:sz w:val="24"/>
          <w:szCs w:val="24"/>
        </w:rPr>
        <w:t>投标人主动提出的澄清、说明。投标人不按评标委员会要求澄清或说明的，评标</w:t>
      </w:r>
      <w:r>
        <w:rPr>
          <w:rFonts w:ascii="宋体" w:hAnsi="宋体" w:eastAsia="宋体" w:cs="宋体"/>
          <w:spacing w:val="1"/>
          <w:sz w:val="24"/>
          <w:szCs w:val="24"/>
        </w:rPr>
        <w:t xml:space="preserve"> </w:t>
      </w:r>
      <w:r>
        <w:rPr>
          <w:rFonts w:ascii="宋体" w:hAnsi="宋体" w:eastAsia="宋体" w:cs="宋体"/>
          <w:spacing w:val="-1"/>
          <w:sz w:val="24"/>
          <w:szCs w:val="24"/>
        </w:rPr>
        <w:t>委员会应否决其投标。</w:t>
      </w:r>
    </w:p>
    <w:p>
      <w:pPr>
        <w:spacing w:before="117" w:line="263" w:lineRule="auto"/>
        <w:ind w:left="34" w:firstLine="468"/>
        <w:rPr>
          <w:rFonts w:ascii="宋体" w:hAnsi="宋体" w:eastAsia="宋体" w:cs="宋体"/>
          <w:sz w:val="24"/>
          <w:szCs w:val="24"/>
        </w:rPr>
      </w:pPr>
      <w:r>
        <w:rPr>
          <w:rFonts w:ascii="Times New Roman" w:hAnsi="Times New Roman" w:eastAsia="Times New Roman" w:cs="Times New Roman"/>
          <w:spacing w:val="7"/>
          <w:sz w:val="24"/>
          <w:szCs w:val="24"/>
        </w:rPr>
        <w:t xml:space="preserve">3.7.2  </w:t>
      </w:r>
      <w:r>
        <w:rPr>
          <w:rFonts w:ascii="宋体" w:hAnsi="宋体" w:eastAsia="宋体" w:cs="宋体"/>
          <w:spacing w:val="7"/>
          <w:sz w:val="24"/>
          <w:szCs w:val="24"/>
        </w:rPr>
        <w:t>澄清和说明不得超出投标文件的范围或改变投标文件的实质性内容</w:t>
      </w:r>
      <w:r>
        <w:rPr>
          <w:rFonts w:ascii="宋体" w:hAnsi="宋体" w:eastAsia="宋体" w:cs="宋体"/>
          <w:sz w:val="24"/>
          <w:szCs w:val="24"/>
        </w:rPr>
        <w:t xml:space="preserve"> </w:t>
      </w:r>
      <w:r>
        <w:rPr>
          <w:rFonts w:ascii="宋体" w:hAnsi="宋体" w:eastAsia="宋体" w:cs="宋体"/>
          <w:spacing w:val="-8"/>
          <w:sz w:val="24"/>
          <w:szCs w:val="24"/>
        </w:rPr>
        <w:t>（算术性错误的修正除外）。投标人的书面澄清、说明属于投标文件的组成部分。</w:t>
      </w:r>
    </w:p>
    <w:p>
      <w:pPr>
        <w:spacing w:before="114" w:line="279" w:lineRule="auto"/>
        <w:ind w:left="23" w:right="80" w:firstLine="480"/>
        <w:rPr>
          <w:rFonts w:ascii="宋体" w:hAnsi="宋体" w:eastAsia="宋体" w:cs="宋体"/>
          <w:sz w:val="24"/>
          <w:szCs w:val="24"/>
        </w:rPr>
      </w:pPr>
      <w:r>
        <w:rPr>
          <w:rFonts w:ascii="Times New Roman" w:hAnsi="Times New Roman" w:eastAsia="Times New Roman" w:cs="Times New Roman"/>
          <w:sz w:val="24"/>
          <w:szCs w:val="24"/>
        </w:rPr>
        <w:t xml:space="preserve">3.7.3  </w:t>
      </w:r>
      <w:r>
        <w:rPr>
          <w:rFonts w:ascii="宋体" w:hAnsi="宋体" w:eastAsia="宋体" w:cs="宋体"/>
          <w:sz w:val="24"/>
          <w:szCs w:val="24"/>
        </w:rPr>
        <w:t>评标委员会不得暗示或诱导投标人作出澄清、说明，对投标人提交的</w:t>
      </w:r>
      <w:r>
        <w:rPr>
          <w:rFonts w:ascii="宋体" w:hAnsi="宋体" w:eastAsia="宋体" w:cs="宋体"/>
          <w:spacing w:val="15"/>
          <w:sz w:val="24"/>
          <w:szCs w:val="24"/>
        </w:rPr>
        <w:t xml:space="preserve"> </w:t>
      </w:r>
      <w:r>
        <w:rPr>
          <w:rFonts w:ascii="宋体" w:hAnsi="宋体" w:eastAsia="宋体" w:cs="宋体"/>
          <w:spacing w:val="-3"/>
          <w:sz w:val="24"/>
          <w:szCs w:val="24"/>
        </w:rPr>
        <w:t>澄清、说明有疑问的，可以要求投标人进一步澄清或说明，直至满足评标委员会</w:t>
      </w:r>
      <w:r>
        <w:rPr>
          <w:rFonts w:ascii="宋体" w:hAnsi="宋体" w:eastAsia="宋体" w:cs="宋体"/>
          <w:spacing w:val="1"/>
          <w:sz w:val="24"/>
          <w:szCs w:val="24"/>
        </w:rPr>
        <w:t xml:space="preserve"> </w:t>
      </w:r>
      <w:r>
        <w:rPr>
          <w:rFonts w:ascii="宋体" w:hAnsi="宋体" w:eastAsia="宋体" w:cs="宋体"/>
          <w:spacing w:val="-3"/>
          <w:sz w:val="24"/>
          <w:szCs w:val="24"/>
        </w:rPr>
        <w:t>的要求。</w:t>
      </w:r>
    </w:p>
    <w:p>
      <w:pPr>
        <w:spacing w:before="113" w:line="263" w:lineRule="auto"/>
        <w:ind w:left="26" w:right="80" w:firstLine="477"/>
        <w:rPr>
          <w:rFonts w:ascii="宋体" w:hAnsi="宋体" w:eastAsia="宋体" w:cs="宋体"/>
          <w:sz w:val="24"/>
          <w:szCs w:val="24"/>
        </w:rPr>
      </w:pPr>
      <w:r>
        <w:rPr>
          <w:rFonts w:ascii="Times New Roman" w:hAnsi="Times New Roman" w:eastAsia="Times New Roman" w:cs="Times New Roman"/>
          <w:sz w:val="24"/>
          <w:szCs w:val="24"/>
        </w:rPr>
        <w:t xml:space="preserve">3.7.4  </w:t>
      </w:r>
      <w:r>
        <w:rPr>
          <w:rFonts w:ascii="宋体" w:hAnsi="宋体" w:eastAsia="宋体" w:cs="宋体"/>
          <w:sz w:val="24"/>
          <w:szCs w:val="24"/>
        </w:rPr>
        <w:t>凡超出招标文件规定的或给发包人带来未曾要求的利益的变化、偏差</w:t>
      </w:r>
      <w:r>
        <w:rPr>
          <w:rFonts w:ascii="宋体" w:hAnsi="宋体" w:eastAsia="宋体" w:cs="宋体"/>
          <w:spacing w:val="15"/>
          <w:sz w:val="24"/>
          <w:szCs w:val="24"/>
        </w:rPr>
        <w:t xml:space="preserve"> </w:t>
      </w:r>
      <w:r>
        <w:rPr>
          <w:rFonts w:ascii="宋体" w:hAnsi="宋体" w:eastAsia="宋体" w:cs="宋体"/>
          <w:spacing w:val="-1"/>
          <w:sz w:val="24"/>
          <w:szCs w:val="24"/>
        </w:rPr>
        <w:t>或其他因素在评标时不予考虑。</w:t>
      </w:r>
    </w:p>
    <w:p>
      <w:pPr>
        <w:pStyle w:val="2"/>
        <w:spacing w:before="117" w:line="222" w:lineRule="auto"/>
        <w:ind w:left="23"/>
        <w:outlineLvl w:val="0"/>
        <w:rPr>
          <w:sz w:val="24"/>
          <w:szCs w:val="24"/>
        </w:rPr>
      </w:pPr>
      <w:r>
        <w:rPr>
          <w:spacing w:val="-1"/>
          <w:sz w:val="24"/>
          <w:szCs w:val="24"/>
        </w:rPr>
        <w:t>3.8 不得否决投标的情形</w:t>
      </w:r>
    </w:p>
    <w:p>
      <w:pPr>
        <w:spacing w:before="108" w:line="295" w:lineRule="auto"/>
        <w:ind w:left="26" w:right="80" w:firstLine="480"/>
        <w:rPr>
          <w:rFonts w:ascii="Times New Roman" w:hAnsi="Times New Roman" w:eastAsia="Times New Roman" w:cs="Times New Roman"/>
          <w:sz w:val="24"/>
          <w:szCs w:val="24"/>
        </w:rPr>
      </w:pPr>
      <w:r>
        <w:rPr>
          <w:rFonts w:ascii="宋体" w:hAnsi="宋体" w:eastAsia="宋体" w:cs="宋体"/>
          <w:spacing w:val="-5"/>
          <w:sz w:val="24"/>
          <w:szCs w:val="24"/>
        </w:rPr>
        <w:t>投标文件存在第二章“投标人须知</w:t>
      </w:r>
      <w:r>
        <w:rPr>
          <w:rFonts w:ascii="宋体" w:hAnsi="宋体" w:eastAsia="宋体" w:cs="宋体"/>
          <w:spacing w:val="-70"/>
          <w:sz w:val="24"/>
          <w:szCs w:val="24"/>
        </w:rPr>
        <w:t xml:space="preserve"> </w:t>
      </w:r>
      <w:r>
        <w:rPr>
          <w:rFonts w:ascii="宋体" w:hAnsi="宋体" w:eastAsia="宋体" w:cs="宋体"/>
          <w:spacing w:val="-5"/>
          <w:sz w:val="24"/>
          <w:szCs w:val="24"/>
        </w:rPr>
        <w:t>”第</w:t>
      </w:r>
      <w:r>
        <w:rPr>
          <w:rFonts w:ascii="宋体" w:hAnsi="宋体" w:eastAsia="宋体" w:cs="宋体"/>
          <w:spacing w:val="-32"/>
          <w:sz w:val="24"/>
          <w:szCs w:val="24"/>
        </w:rPr>
        <w:t xml:space="preserve"> </w:t>
      </w:r>
      <w:r>
        <w:rPr>
          <w:rFonts w:ascii="Times New Roman" w:hAnsi="Times New Roman" w:eastAsia="Times New Roman" w:cs="Times New Roman"/>
          <w:spacing w:val="-5"/>
          <w:sz w:val="24"/>
          <w:szCs w:val="24"/>
        </w:rPr>
        <w:t xml:space="preserve">1.12.3 </w:t>
      </w:r>
      <w:r>
        <w:rPr>
          <w:rFonts w:ascii="宋体" w:hAnsi="宋体" w:eastAsia="宋体" w:cs="宋体"/>
          <w:spacing w:val="-5"/>
          <w:sz w:val="24"/>
          <w:szCs w:val="24"/>
        </w:rPr>
        <w:t>项所列情形的，均视为细微偏</w:t>
      </w:r>
      <w:r>
        <w:rPr>
          <w:rFonts w:ascii="宋体" w:hAnsi="宋体" w:eastAsia="宋体" w:cs="宋体"/>
          <w:sz w:val="24"/>
          <w:szCs w:val="24"/>
        </w:rPr>
        <w:t xml:space="preserve"> </w:t>
      </w:r>
      <w:r>
        <w:rPr>
          <w:rFonts w:ascii="宋体" w:hAnsi="宋体" w:eastAsia="宋体" w:cs="宋体"/>
          <w:spacing w:val="-1"/>
          <w:sz w:val="24"/>
          <w:szCs w:val="24"/>
        </w:rPr>
        <w:t>差，评标委员会不得否决投标人的投标，应按照第二章“投标人须知</w:t>
      </w:r>
      <w:r>
        <w:rPr>
          <w:rFonts w:ascii="宋体" w:hAnsi="宋体" w:eastAsia="宋体" w:cs="宋体"/>
          <w:spacing w:val="-74"/>
          <w:sz w:val="24"/>
          <w:szCs w:val="24"/>
        </w:rPr>
        <w:t xml:space="preserve"> </w:t>
      </w:r>
      <w:r>
        <w:rPr>
          <w:rFonts w:ascii="宋体" w:hAnsi="宋体" w:eastAsia="宋体" w:cs="宋体"/>
          <w:spacing w:val="-1"/>
          <w:sz w:val="24"/>
          <w:szCs w:val="24"/>
        </w:rPr>
        <w:t>”第</w:t>
      </w:r>
      <w:r>
        <w:rPr>
          <w:rFonts w:ascii="宋体" w:hAnsi="宋体" w:eastAsia="宋体" w:cs="宋体"/>
          <w:spacing w:val="-29"/>
          <w:sz w:val="24"/>
          <w:szCs w:val="24"/>
        </w:rPr>
        <w:t xml:space="preserve"> </w:t>
      </w:r>
      <w:r>
        <w:rPr>
          <w:rFonts w:ascii="Times New Roman" w:hAnsi="Times New Roman" w:eastAsia="Times New Roman" w:cs="Times New Roman"/>
          <w:spacing w:val="-1"/>
          <w:sz w:val="24"/>
          <w:szCs w:val="24"/>
        </w:rPr>
        <w:t>1.</w:t>
      </w:r>
      <w:r>
        <w:rPr>
          <w:rFonts w:ascii="Times New Roman" w:hAnsi="Times New Roman" w:eastAsia="Times New Roman" w:cs="Times New Roman"/>
          <w:spacing w:val="-30"/>
          <w:sz w:val="24"/>
          <w:szCs w:val="24"/>
        </w:rPr>
        <w:t xml:space="preserve"> </w:t>
      </w:r>
      <w:r>
        <w:rPr>
          <w:rFonts w:ascii="Times New Roman" w:hAnsi="Times New Roman" w:eastAsia="Times New Roman" w:cs="Times New Roman"/>
          <w:spacing w:val="-1"/>
          <w:sz w:val="24"/>
          <w:szCs w:val="24"/>
        </w:rPr>
        <w:t>12.</w:t>
      </w:r>
    </w:p>
    <w:p>
      <w:pPr>
        <w:spacing w:before="36" w:line="220" w:lineRule="auto"/>
        <w:ind w:left="17"/>
        <w:rPr>
          <w:rFonts w:ascii="宋体" w:hAnsi="宋体" w:eastAsia="宋体" w:cs="宋体"/>
          <w:sz w:val="24"/>
          <w:szCs w:val="24"/>
        </w:rPr>
      </w:pPr>
      <w:r>
        <w:rPr>
          <w:rFonts w:ascii="Times New Roman" w:hAnsi="Times New Roman" w:eastAsia="Times New Roman" w:cs="Times New Roman"/>
          <w:spacing w:val="-1"/>
          <w:sz w:val="24"/>
          <w:szCs w:val="24"/>
        </w:rPr>
        <w:t xml:space="preserve">4 </w:t>
      </w:r>
      <w:r>
        <w:rPr>
          <w:rFonts w:ascii="宋体" w:hAnsi="宋体" w:eastAsia="宋体" w:cs="宋体"/>
          <w:spacing w:val="-1"/>
          <w:sz w:val="24"/>
          <w:szCs w:val="24"/>
        </w:rPr>
        <w:t>项规定的原则处理。</w:t>
      </w:r>
    </w:p>
    <w:p>
      <w:pPr>
        <w:pStyle w:val="2"/>
        <w:spacing w:before="112" w:line="222" w:lineRule="auto"/>
        <w:ind w:left="23"/>
        <w:rPr>
          <w:sz w:val="24"/>
          <w:szCs w:val="24"/>
        </w:rPr>
      </w:pPr>
      <w:r>
        <w:rPr>
          <w:rFonts w:ascii="Times New Roman" w:hAnsi="Times New Roman" w:eastAsia="Times New Roman" w:cs="Times New Roman"/>
          <w:spacing w:val="-2"/>
          <w:sz w:val="24"/>
          <w:szCs w:val="24"/>
        </w:rPr>
        <w:t xml:space="preserve">3.9  </w:t>
      </w:r>
      <w:r>
        <w:rPr>
          <w:spacing w:val="-2"/>
          <w:sz w:val="24"/>
          <w:szCs w:val="24"/>
        </w:rPr>
        <w:t>评标结果</w:t>
      </w:r>
    </w:p>
    <w:p>
      <w:pPr>
        <w:spacing w:before="113" w:line="263" w:lineRule="auto"/>
        <w:ind w:left="25" w:right="80" w:firstLine="478"/>
        <w:rPr>
          <w:rFonts w:ascii="宋体" w:hAnsi="宋体" w:eastAsia="宋体" w:cs="宋体"/>
          <w:sz w:val="24"/>
          <w:szCs w:val="24"/>
        </w:rPr>
      </w:pPr>
      <w:r>
        <w:rPr>
          <w:rFonts w:ascii="Times New Roman" w:hAnsi="Times New Roman" w:eastAsia="Times New Roman" w:cs="Times New Roman"/>
          <w:sz w:val="24"/>
          <w:szCs w:val="24"/>
        </w:rPr>
        <w:t>3.9.</w:t>
      </w:r>
      <w:r>
        <w:rPr>
          <w:rFonts w:ascii="Times New Roman" w:hAnsi="Times New Roman" w:eastAsia="Times New Roman" w:cs="Times New Roman"/>
          <w:spacing w:val="-29"/>
          <w:sz w:val="24"/>
          <w:szCs w:val="24"/>
        </w:rPr>
        <w:t xml:space="preserve"> </w:t>
      </w:r>
      <w:r>
        <w:rPr>
          <w:rFonts w:ascii="Times New Roman" w:hAnsi="Times New Roman" w:eastAsia="Times New Roman" w:cs="Times New Roman"/>
          <w:sz w:val="24"/>
          <w:szCs w:val="24"/>
        </w:rPr>
        <w:t>1</w:t>
      </w:r>
      <w:r>
        <w:rPr>
          <w:rFonts w:ascii="Times New Roman" w:hAnsi="Times New Roman" w:eastAsia="Times New Roman" w:cs="Times New Roman"/>
          <w:spacing w:val="26"/>
          <w:sz w:val="24"/>
          <w:szCs w:val="24"/>
        </w:rPr>
        <w:t xml:space="preserve"> </w:t>
      </w:r>
      <w:r>
        <w:rPr>
          <w:rFonts w:ascii="宋体" w:hAnsi="宋体" w:eastAsia="宋体" w:cs="宋体"/>
          <w:sz w:val="24"/>
          <w:szCs w:val="24"/>
        </w:rPr>
        <w:t>除第二章“投标人须知</w:t>
      </w:r>
      <w:r>
        <w:rPr>
          <w:rFonts w:ascii="宋体" w:hAnsi="宋体" w:eastAsia="宋体" w:cs="宋体"/>
          <w:spacing w:val="-86"/>
          <w:sz w:val="24"/>
          <w:szCs w:val="24"/>
        </w:rPr>
        <w:t xml:space="preserve"> </w:t>
      </w:r>
      <w:r>
        <w:rPr>
          <w:rFonts w:ascii="宋体" w:hAnsi="宋体" w:eastAsia="宋体" w:cs="宋体"/>
          <w:sz w:val="24"/>
          <w:szCs w:val="24"/>
        </w:rPr>
        <w:t>”前附表</w:t>
      </w:r>
      <w:r>
        <w:rPr>
          <w:rFonts w:ascii="宋体" w:hAnsi="宋体" w:eastAsia="宋体" w:cs="宋体"/>
          <w:spacing w:val="-1"/>
          <w:sz w:val="24"/>
          <w:szCs w:val="24"/>
        </w:rPr>
        <w:t>授权直接确定中标人外，评标委员会</w:t>
      </w:r>
      <w:r>
        <w:rPr>
          <w:rFonts w:ascii="宋体" w:hAnsi="宋体" w:eastAsia="宋体" w:cs="宋体"/>
          <w:sz w:val="24"/>
          <w:szCs w:val="24"/>
        </w:rPr>
        <w:t xml:space="preserve"> </w:t>
      </w:r>
      <w:r>
        <w:rPr>
          <w:rFonts w:ascii="宋体" w:hAnsi="宋体" w:eastAsia="宋体" w:cs="宋体"/>
          <w:spacing w:val="-1"/>
          <w:sz w:val="24"/>
          <w:szCs w:val="24"/>
        </w:rPr>
        <w:t>按照评标价由低到高的顺序推荐中标候选人，并标明排序。</w:t>
      </w:r>
    </w:p>
    <w:p>
      <w:pPr>
        <w:spacing w:before="115" w:line="188" w:lineRule="auto"/>
        <w:ind w:left="503"/>
        <w:rPr>
          <w:rFonts w:ascii="Microsoft YaHei" w:hAnsi="Microsoft YaHei" w:eastAsia="Microsoft YaHei" w:cs="Microsoft YaHei"/>
          <w:sz w:val="24"/>
          <w:szCs w:val="24"/>
        </w:rPr>
      </w:pPr>
      <w:r>
        <w:rPr>
          <w:rFonts w:ascii="Times New Roman" w:hAnsi="Times New Roman" w:eastAsia="Times New Roman" w:cs="Times New Roman"/>
          <w:sz w:val="24"/>
          <w:szCs w:val="24"/>
        </w:rPr>
        <w:t xml:space="preserve">3.9.2  </w:t>
      </w:r>
      <w:r>
        <w:rPr>
          <w:rFonts w:ascii="宋体" w:hAnsi="宋体" w:eastAsia="宋体" w:cs="宋体"/>
          <w:sz w:val="24"/>
          <w:szCs w:val="24"/>
        </w:rPr>
        <w:t>评标委员会完成评标后，应</w:t>
      </w:r>
      <w:r>
        <w:rPr>
          <w:rFonts w:ascii="宋体" w:hAnsi="宋体" w:eastAsia="宋体" w:cs="宋体"/>
          <w:spacing w:val="-1"/>
          <w:sz w:val="24"/>
          <w:szCs w:val="24"/>
        </w:rPr>
        <w:t>向招标人提交评标报告</w:t>
      </w:r>
      <w:r>
        <w:rPr>
          <w:rFonts w:ascii="Microsoft YaHei" w:hAnsi="Microsoft YaHei" w:eastAsia="Microsoft YaHei" w:cs="Microsoft YaHei"/>
          <w:spacing w:val="-1"/>
          <w:sz w:val="24"/>
          <w:szCs w:val="24"/>
        </w:rPr>
        <w:t>。</w:t>
      </w:r>
    </w:p>
    <w:sectPr>
      <w:headerReference r:id="rId11" w:type="default"/>
      <w:pgSz w:w="11906" w:h="16839"/>
      <w:pgMar w:top="1183" w:right="1719" w:bottom="0" w:left="1785" w:header="866"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SimHei">
    <w:altName w:val="方正黑体_GBK"/>
    <w:panose1 w:val="02010609060101010101"/>
    <w:charset w:val="86"/>
    <w:family w:val="auto"/>
    <w:pitch w:val="default"/>
    <w:sig w:usb0="00000000" w:usb1="00000000" w:usb2="00000016" w:usb3="00000000" w:csb0="00040001" w:csb1="00000000"/>
  </w:font>
  <w:font w:name="Microsoft YaHei">
    <w:altName w:val="方正黑体_GBK"/>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7" w:line="222" w:lineRule="auto"/>
      <w:ind w:left="4993"/>
      <w:rPr>
        <w:rFonts w:ascii="SimHei" w:hAnsi="SimHei" w:eastAsia="SimHei" w:cs="SimHei"/>
        <w:sz w:val="22"/>
        <w:szCs w:val="22"/>
      </w:rPr>
    </w:pPr>
    <w:r>
      <w:pict>
        <v:shape id="_x0000_s2049" o:spid="_x0000_s2049" style="position:absolute;left:0pt;margin-left:90pt;margin-top:57.8pt;height:0.5pt;width:405.8pt;mso-position-horizontal-relative:page;mso-position-vertical-relative:page;z-index:251658240;mso-width-relative:page;mso-height-relative:page;" fillcolor="#000000" filled="t" stroked="f" coordsize="8115,10" o:allowincell="f" path="m0,0l8115,0,8115,9,0,9,0,0xe">
          <v:fill on="t" focussize="0,0"/>
          <v:stroke on="f"/>
          <v:imagedata o:title=""/>
          <o:lock v:ext="edit"/>
        </v:shape>
      </w:pict>
    </w:r>
    <w:r>
      <w:rPr>
        <w:rFonts w:ascii="SimHei" w:hAnsi="SimHei" w:eastAsia="SimHei" w:cs="SimHei"/>
        <w:spacing w:val="-1"/>
        <w:sz w:val="22"/>
        <w:szCs w:val="22"/>
      </w:rPr>
      <w:t>第三章  评标办法（技术评分最低标价法）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7" w:line="222" w:lineRule="auto"/>
      <w:ind w:left="4889"/>
    </w:pPr>
    <w:r>
      <w:pict>
        <v:shape id="_x0000_s2050" o:spid="_x0000_s2050" style="position:absolute;left:0pt;margin-left:90pt;margin-top:57.8pt;height:0.5pt;width:405.8pt;mso-position-horizontal-relative:page;mso-position-vertical-relative:page;z-index:251662336;mso-width-relative:page;mso-height-relative:page;" fillcolor="#000000" filled="t" stroked="f" coordsize="8115,10" o:allowincell="f" path="m0,0l8115,0,8115,9,0,9,0,0xe">
          <v:fill on="t" focussize="0,0"/>
          <v:stroke on="f"/>
          <v:imagedata o:title=""/>
          <o:lock v:ext="edit"/>
        </v:shape>
      </w:pict>
    </w:r>
    <w:r>
      <w:rPr>
        <w:spacing w:val="-1"/>
      </w:rPr>
      <w:t>第三章  评标办法（技术评分最低标价法）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7" w:line="222" w:lineRule="auto"/>
      <w:ind w:left="3958"/>
    </w:pPr>
    <w:r>
      <w:pict>
        <v:shape id="_x0000_s2051" o:spid="_x0000_s2051" style="position:absolute;left:0pt;margin-left:90pt;margin-top:57.8pt;height:0.5pt;width:405.8pt;mso-position-horizontal-relative:page;mso-position-vertical-relative:page;z-index:251665408;mso-width-relative:page;mso-height-relative:page;" fillcolor="#000000" filled="t" stroked="f" coordsize="8115,10" o:allowincell="f" path="m0,0l8115,0,8115,9,0,9,0,0xe">
          <v:fill on="t" focussize="0,0"/>
          <v:stroke on="f"/>
          <v:imagedata o:title=""/>
          <o:lock v:ext="edit"/>
        </v:shape>
      </w:pict>
    </w:r>
    <w:r>
      <w:rPr>
        <w:spacing w:val="-1"/>
      </w:rPr>
      <w:t>第三章  评标办法（技术评分最低标价法）</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7" w:line="222" w:lineRule="auto"/>
      <w:ind w:left="3958"/>
    </w:pPr>
    <w:r>
      <w:pict>
        <v:shape id="_x0000_s2052" o:spid="_x0000_s2052" style="position:absolute;left:0pt;margin-left:90pt;margin-top:57.8pt;height:0.5pt;width:405.8pt;mso-position-horizontal-relative:page;mso-position-vertical-relative:page;z-index:251666432;mso-width-relative:page;mso-height-relative:page;" fillcolor="#000000" filled="t" stroked="f" coordsize="8115,10" o:allowincell="f" path="m0,0l8115,0,8115,9,0,9,0,0xe">
          <v:fill on="t" focussize="0,0"/>
          <v:stroke on="f"/>
          <v:imagedata o:title=""/>
          <o:lock v:ext="edit"/>
        </v:shape>
      </w:pict>
    </w:r>
    <w:r>
      <w:rPr>
        <w:spacing w:val="-1"/>
      </w:rPr>
      <w:t>第三章  评标办法（技术评分最低标价法）</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7" w:line="222" w:lineRule="auto"/>
      <w:ind w:left="3958"/>
    </w:pPr>
    <w:r>
      <w:pict>
        <v:shape id="_x0000_s2053" o:spid="_x0000_s2053" style="position:absolute;left:0pt;margin-left:90pt;margin-top:57.8pt;height:0.5pt;width:405.8pt;mso-position-horizontal-relative:page;mso-position-vertical-relative:page;z-index:251667456;mso-width-relative:page;mso-height-relative:page;" fillcolor="#000000" filled="t" stroked="f" coordsize="8115,10" o:allowincell="f" path="m0,0l8115,0,8115,9,0,9,0,0xe">
          <v:fill on="t" focussize="0,0"/>
          <v:stroke on="f"/>
          <v:imagedata o:title=""/>
          <o:lock v:ext="edit"/>
        </v:shape>
      </w:pict>
    </w:r>
    <w:r>
      <w:rPr>
        <w:spacing w:val="-1"/>
      </w:rPr>
      <w:t>第三章  评标办法（技术评分最低标价法）</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7" w:line="222" w:lineRule="auto"/>
      <w:ind w:left="3958"/>
    </w:pPr>
    <w:r>
      <w:pict>
        <v:shape id="_x0000_s2054" o:spid="_x0000_s2054" style="position:absolute;left:0pt;margin-left:90pt;margin-top:57.8pt;height:0.5pt;width:405.8pt;mso-position-horizontal-relative:page;mso-position-vertical-relative:page;z-index:251668480;mso-width-relative:page;mso-height-relative:page;" fillcolor="#000000" filled="t" stroked="f" coordsize="8115,10" o:allowincell="f" path="m0,0l8115,0,8115,9,0,9,0,0xe">
          <v:fill on="t" focussize="0,0"/>
          <v:stroke on="f"/>
          <v:imagedata o:title=""/>
          <o:lock v:ext="edit"/>
        </v:shape>
      </w:pict>
    </w:r>
    <w:r>
      <w:rPr>
        <w:spacing w:val="-1"/>
      </w:rPr>
      <w:t>第三章  评标办法（技术评分最低标价法）</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7" w:line="222" w:lineRule="auto"/>
      <w:ind w:left="3958"/>
    </w:pPr>
    <w:r>
      <w:pict>
        <v:shape id="_x0000_s2055" o:spid="_x0000_s2055" style="position:absolute;left:0pt;margin-left:90pt;margin-top:57.8pt;height:0.5pt;width:405.8pt;mso-position-horizontal-relative:page;mso-position-vertical-relative:page;z-index:251669504;mso-width-relative:page;mso-height-relative:page;" fillcolor="#000000" filled="t" stroked="f" coordsize="8115,10" o:allowincell="f" path="m0,0l8115,0,8115,9,0,9,0,0xe">
          <v:fill on="t" focussize="0,0"/>
          <v:stroke on="f"/>
          <v:imagedata o:title=""/>
          <o:lock v:ext="edit"/>
        </v:shape>
      </w:pict>
    </w:r>
    <w:r>
      <w:rPr>
        <w:spacing w:val="-1"/>
      </w:rPr>
      <w:t>第三章  评标办法（技术评分最低标价法）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BF3E24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SimHei" w:hAnsi="SimHei" w:eastAsia="SimHei" w:cs="SimHei"/>
      <w:sz w:val="22"/>
      <w:szCs w:val="2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0"/>
    <customShpInfo spid="_x0000_s2051"/>
    <customShpInfo spid="_x0000_s2052"/>
    <customShpInfo spid="_x0000_s2053"/>
    <customShpInfo spid="_x0000_s2054"/>
    <customShpInfo spid="_x0000_s205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Office_11.8.2.10386_F1E327BC-269C-435d-A152-05C5408002CA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2024-04-11T18:51:00Z</dcterms:created>
  <dc:creator>Administrator</dc:creator>
  <cp:lastModifiedBy>user</cp:lastModifiedBy>
  <dcterms:modified xsi:type="dcterms:W3CDTF">2024-11-22T13:39:28Z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2024-11-20T17:54:17Z</vt:filetime>
  </property>
  <property fmtid="{D5CDD505-2E9C-101B-9397-08002B2CF9AE}" pid="4" name="KSOProductBuildVer">
    <vt:lpwstr>2052-11.8.2.10386</vt:lpwstr>
  </property>
</Properties>
</file>