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outlineLvl w:val="0"/>
        <w:rPr>
          <w:rFonts w:hint="eastAsia" w:ascii="宋体" w:hAnsi="宋体" w:cs="宋体"/>
          <w:b/>
          <w:sz w:val="44"/>
        </w:rPr>
      </w:pPr>
      <w:bookmarkStart w:id="0" w:name="_Toc102133614"/>
      <w:r>
        <w:rPr>
          <w:rFonts w:hint="eastAsia" w:ascii="宋体" w:hAnsi="宋体" w:cs="宋体"/>
          <w:b/>
          <w:sz w:val="44"/>
        </w:rPr>
        <w:t>双信封的综合评分法</w:t>
      </w:r>
      <w:bookmarkEnd w:id="0"/>
    </w:p>
    <w:p>
      <w:pPr>
        <w:spacing w:line="0" w:lineRule="atLeast"/>
        <w:jc w:val="center"/>
        <w:rPr>
          <w:rFonts w:hint="eastAsia" w:ascii="宋体" w:hAnsi="宋体" w:cs="宋体"/>
          <w:b/>
          <w:sz w:val="32"/>
        </w:rPr>
      </w:pPr>
    </w:p>
    <w:p>
      <w:pPr>
        <w:spacing w:line="0" w:lineRule="atLeast"/>
        <w:jc w:val="center"/>
        <w:rPr>
          <w:rFonts w:hint="eastAsia" w:ascii="宋体" w:hAnsi="宋体" w:cs="宋体"/>
          <w:b/>
          <w:sz w:val="32"/>
        </w:rPr>
      </w:pPr>
      <w:r>
        <w:rPr>
          <w:rFonts w:hint="eastAsia" w:ascii="宋体" w:hAnsi="宋体" w:cs="宋体"/>
          <w:b/>
          <w:sz w:val="32"/>
        </w:rPr>
        <w:t>评标办法前附表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
        <w:gridCol w:w="565"/>
        <w:gridCol w:w="910"/>
        <w:gridCol w:w="2011"/>
        <w:gridCol w:w="56"/>
        <w:gridCol w:w="4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17" w:type="dxa"/>
            <w:noWrap w:val="0"/>
            <w:vAlign w:val="center"/>
          </w:tcPr>
          <w:p>
            <w:pPr>
              <w:spacing w:line="320" w:lineRule="atLeast"/>
              <w:jc w:val="center"/>
              <w:rPr>
                <w:rFonts w:hint="eastAsia" w:ascii="宋体" w:hAnsi="宋体" w:cs="宋体"/>
                <w:sz w:val="24"/>
                <w:szCs w:val="21"/>
              </w:rPr>
            </w:pPr>
            <w:r>
              <w:rPr>
                <w:rFonts w:hint="eastAsia" w:ascii="宋体" w:hAnsi="宋体" w:cs="宋体"/>
                <w:sz w:val="24"/>
                <w:szCs w:val="21"/>
              </w:rPr>
              <w:t>条款号</w:t>
            </w:r>
          </w:p>
        </w:tc>
        <w:tc>
          <w:tcPr>
            <w:tcW w:w="1482" w:type="dxa"/>
            <w:gridSpan w:val="3"/>
            <w:noWrap w:val="0"/>
            <w:vAlign w:val="center"/>
          </w:tcPr>
          <w:p>
            <w:pPr>
              <w:spacing w:line="320" w:lineRule="atLeast"/>
              <w:jc w:val="center"/>
              <w:rPr>
                <w:rFonts w:hint="eastAsia" w:ascii="宋体" w:hAnsi="宋体" w:cs="宋体"/>
                <w:sz w:val="24"/>
                <w:szCs w:val="21"/>
              </w:rPr>
            </w:pPr>
            <w:r>
              <w:rPr>
                <w:rFonts w:hint="eastAsia" w:ascii="宋体" w:hAnsi="宋体" w:cs="宋体"/>
                <w:sz w:val="24"/>
                <w:szCs w:val="21"/>
              </w:rPr>
              <w:t>条款名称</w:t>
            </w:r>
          </w:p>
        </w:tc>
        <w:tc>
          <w:tcPr>
            <w:tcW w:w="6893" w:type="dxa"/>
            <w:gridSpan w:val="3"/>
            <w:noWrap w:val="0"/>
            <w:vAlign w:val="center"/>
          </w:tcPr>
          <w:p>
            <w:pPr>
              <w:jc w:val="center"/>
              <w:rPr>
                <w:rFonts w:hint="eastAsia" w:ascii="宋体" w:hAnsi="宋体" w:cs="宋体"/>
                <w:b/>
              </w:rPr>
            </w:pPr>
            <w:r>
              <w:rPr>
                <w:rFonts w:hint="eastAsia" w:ascii="宋体" w:hAnsi="宋体" w:cs="宋体"/>
                <w:b/>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ascii="宋体" w:hAnsi="宋体" w:cs="宋体"/>
              </w:rPr>
            </w:pPr>
            <w:r>
              <w:rPr>
                <w:rFonts w:hint="eastAsia" w:ascii="宋体" w:hAnsi="宋体" w:cs="宋体"/>
              </w:rPr>
              <w:t>2.1.1</w:t>
            </w:r>
          </w:p>
        </w:tc>
        <w:tc>
          <w:tcPr>
            <w:tcW w:w="1482" w:type="dxa"/>
            <w:gridSpan w:val="3"/>
            <w:noWrap w:val="0"/>
            <w:vAlign w:val="center"/>
          </w:tcPr>
          <w:p>
            <w:pPr>
              <w:jc w:val="center"/>
              <w:rPr>
                <w:rFonts w:hint="eastAsia" w:ascii="宋体" w:hAnsi="宋体" w:cs="宋体"/>
              </w:rPr>
            </w:pPr>
            <w:r>
              <w:rPr>
                <w:rFonts w:hint="eastAsia" w:ascii="宋体" w:hAnsi="宋体" w:cs="宋体"/>
              </w:rPr>
              <w:t>形式评审与响应性评审标准</w:t>
            </w:r>
          </w:p>
        </w:tc>
        <w:tc>
          <w:tcPr>
            <w:tcW w:w="6893" w:type="dxa"/>
            <w:gridSpan w:val="3"/>
            <w:noWrap w:val="0"/>
            <w:vAlign w:val="top"/>
          </w:tcPr>
          <w:p>
            <w:pPr>
              <w:widowControl/>
              <w:jc w:val="left"/>
            </w:pPr>
            <w:r>
              <w:rPr>
                <w:rFonts w:hint="eastAsia" w:ascii="宋体" w:hAnsi="宋体" w:cs="宋体"/>
                <w:b/>
                <w:bCs/>
                <w:color w:val="000000"/>
                <w:kern w:val="0"/>
                <w:szCs w:val="21"/>
                <w:lang w:bidi="ar"/>
              </w:rPr>
              <w:t xml:space="preserve">第一个信封（商务及技术文件）评审标准： </w:t>
            </w:r>
          </w:p>
          <w:p>
            <w:pPr>
              <w:widowControl/>
              <w:jc w:val="left"/>
            </w:pPr>
            <w:r>
              <w:rPr>
                <w:rFonts w:hint="eastAsia" w:ascii="宋体" w:hAnsi="宋体" w:cs="宋体"/>
                <w:color w:val="000000"/>
                <w:kern w:val="0"/>
                <w:szCs w:val="21"/>
                <w:lang w:bidi="ar"/>
              </w:rPr>
              <w:t xml:space="preserve">（1）投标文件按照招标文件规定的格式、内容和要求编制，字迹 </w:t>
            </w:r>
          </w:p>
          <w:p>
            <w:pPr>
              <w:widowControl/>
              <w:jc w:val="left"/>
            </w:pPr>
            <w:r>
              <w:rPr>
                <w:rFonts w:hint="eastAsia" w:ascii="宋体" w:hAnsi="宋体" w:cs="宋体"/>
                <w:color w:val="000000"/>
                <w:kern w:val="0"/>
                <w:szCs w:val="21"/>
                <w:lang w:bidi="ar"/>
              </w:rPr>
              <w:t xml:space="preserve">清晰可辨； </w:t>
            </w:r>
          </w:p>
          <w:p>
            <w:pPr>
              <w:widowControl/>
              <w:jc w:val="left"/>
            </w:pPr>
            <w:r>
              <w:rPr>
                <w:rFonts w:hint="eastAsia" w:ascii="宋体" w:hAnsi="宋体" w:cs="宋体"/>
                <w:color w:val="000000"/>
                <w:kern w:val="0"/>
                <w:szCs w:val="21"/>
                <w:lang w:bidi="ar"/>
              </w:rPr>
              <w:t xml:space="preserve">a.投标书按照招标文件规定填报了投标文件有效期；且有法定代表 </w:t>
            </w:r>
          </w:p>
          <w:p>
            <w:pPr>
              <w:widowControl/>
              <w:jc w:val="left"/>
            </w:pPr>
            <w:r>
              <w:rPr>
                <w:rFonts w:hint="eastAsia" w:ascii="宋体" w:hAnsi="宋体" w:cs="宋体"/>
                <w:color w:val="000000"/>
                <w:kern w:val="0"/>
                <w:szCs w:val="21"/>
                <w:lang w:bidi="ar"/>
              </w:rPr>
              <w:t xml:space="preserve">人或其授权的代理人签字，盖有法人章； </w:t>
            </w:r>
          </w:p>
          <w:p>
            <w:pPr>
              <w:widowControl/>
              <w:jc w:val="left"/>
            </w:pPr>
            <w:r>
              <w:rPr>
                <w:rFonts w:hint="eastAsia" w:ascii="宋体" w:hAnsi="宋体" w:cs="宋体"/>
                <w:color w:val="000000"/>
                <w:kern w:val="0"/>
                <w:szCs w:val="21"/>
                <w:lang w:bidi="ar"/>
              </w:rPr>
              <w:t xml:space="preserve">b.投标文件各种表格齐全完整，内容清晰可辨； </w:t>
            </w:r>
          </w:p>
          <w:p>
            <w:pPr>
              <w:widowControl/>
              <w:jc w:val="left"/>
            </w:pPr>
            <w:r>
              <w:rPr>
                <w:rFonts w:hint="eastAsia" w:ascii="宋体" w:hAnsi="宋体" w:cs="宋体"/>
                <w:color w:val="000000"/>
                <w:kern w:val="0"/>
                <w:szCs w:val="21"/>
                <w:lang w:bidi="ar"/>
              </w:rPr>
              <w:t xml:space="preserve">（2）招标文件“投标文件格式”中明确要求投标人法定代表人或其委托代理人签字之处，必须签名；明确要求投标人加盖公章之处，必须加盖公章。 </w:t>
            </w:r>
          </w:p>
          <w:p>
            <w:pPr>
              <w:widowControl/>
              <w:jc w:val="left"/>
            </w:pPr>
            <w:r>
              <w:rPr>
                <w:rFonts w:hint="eastAsia" w:ascii="宋体" w:hAnsi="宋体" w:cs="宋体"/>
                <w:color w:val="000000"/>
                <w:kern w:val="0"/>
                <w:szCs w:val="21"/>
                <w:lang w:bidi="ar"/>
              </w:rPr>
              <w:t xml:space="preserve">（3）投标人按照招标文件规定的形式、时限和要求提供了投标保 </w:t>
            </w:r>
          </w:p>
          <w:p>
            <w:pPr>
              <w:widowControl/>
              <w:jc w:val="left"/>
            </w:pPr>
            <w:r>
              <w:rPr>
                <w:rFonts w:hint="eastAsia" w:ascii="宋体" w:hAnsi="宋体" w:cs="宋体"/>
                <w:color w:val="000000"/>
                <w:kern w:val="0"/>
                <w:szCs w:val="21"/>
                <w:lang w:bidi="ar"/>
              </w:rPr>
              <w:t xml:space="preserve">证金； </w:t>
            </w:r>
          </w:p>
          <w:p>
            <w:pPr>
              <w:widowControl/>
              <w:jc w:val="left"/>
            </w:pPr>
            <w:r>
              <w:rPr>
                <w:rFonts w:hint="eastAsia" w:ascii="宋体" w:hAnsi="宋体" w:cs="宋体"/>
                <w:color w:val="000000"/>
                <w:kern w:val="0"/>
                <w:szCs w:val="21"/>
                <w:lang w:bidi="ar"/>
              </w:rPr>
              <w:t xml:space="preserve">a.投标保证金金额符合招标文件规定的金额，且投标保证金有效期 </w:t>
            </w:r>
          </w:p>
          <w:p>
            <w:pPr>
              <w:widowControl/>
              <w:jc w:val="left"/>
            </w:pPr>
            <w:r>
              <w:rPr>
                <w:rFonts w:hint="eastAsia" w:ascii="宋体" w:hAnsi="宋体" w:cs="宋体"/>
                <w:color w:val="000000"/>
                <w:kern w:val="0"/>
                <w:szCs w:val="21"/>
                <w:lang w:bidi="ar"/>
              </w:rPr>
              <w:t xml:space="preserve">不少于投标有效期； </w:t>
            </w:r>
          </w:p>
          <w:p>
            <w:pPr>
              <w:widowControl/>
              <w:jc w:val="left"/>
            </w:pPr>
            <w:r>
              <w:rPr>
                <w:rFonts w:hint="eastAsia" w:ascii="宋体" w:hAnsi="宋体" w:cs="宋体"/>
                <w:color w:val="000000"/>
                <w:kern w:val="0"/>
                <w:szCs w:val="21"/>
                <w:lang w:bidi="ar"/>
              </w:rPr>
              <w:t xml:space="preserve">b.若投标保证金采用电汇形式提交，投标人应在递交投标文件截止 </w:t>
            </w:r>
          </w:p>
          <w:p>
            <w:pPr>
              <w:widowControl/>
              <w:jc w:val="left"/>
            </w:pPr>
            <w:r>
              <w:rPr>
                <w:rFonts w:hint="eastAsia" w:ascii="宋体" w:hAnsi="宋体" w:cs="宋体"/>
                <w:color w:val="000000"/>
                <w:kern w:val="0"/>
                <w:szCs w:val="21"/>
                <w:lang w:bidi="ar"/>
              </w:rPr>
              <w:t xml:space="preserve">时间之前，将投标保证金由投标人的基本账户转入招标人指定账户； </w:t>
            </w:r>
          </w:p>
          <w:p>
            <w:pPr>
              <w:widowControl/>
              <w:jc w:val="left"/>
            </w:pPr>
            <w:r>
              <w:rPr>
                <w:rFonts w:hint="eastAsia" w:ascii="宋体" w:hAnsi="宋体" w:cs="宋体"/>
                <w:color w:val="000000"/>
                <w:kern w:val="0"/>
                <w:szCs w:val="21"/>
                <w:lang w:bidi="ar"/>
              </w:rPr>
              <w:t xml:space="preserve">c.若投标保证金采用银行保函形式提交，银行保函的格式、开具保 </w:t>
            </w:r>
          </w:p>
          <w:p>
            <w:pPr>
              <w:widowControl/>
              <w:jc w:val="left"/>
            </w:pPr>
            <w:r>
              <w:rPr>
                <w:rFonts w:hint="eastAsia" w:ascii="宋体" w:hAnsi="宋体" w:cs="宋体"/>
                <w:color w:val="000000"/>
                <w:kern w:val="0"/>
                <w:szCs w:val="21"/>
                <w:lang w:bidi="ar"/>
              </w:rPr>
              <w:t xml:space="preserve">函的银行均满足招标文件要求,投标文件中应提供银行保函的复印 </w:t>
            </w:r>
          </w:p>
          <w:p>
            <w:pPr>
              <w:widowControl/>
              <w:jc w:val="left"/>
            </w:pPr>
            <w:r>
              <w:rPr>
                <w:rFonts w:hint="eastAsia" w:ascii="宋体" w:hAnsi="宋体" w:cs="宋体"/>
                <w:color w:val="000000"/>
                <w:kern w:val="0"/>
                <w:szCs w:val="21"/>
                <w:lang w:bidi="ar"/>
              </w:rPr>
              <w:t xml:space="preserve">件。 </w:t>
            </w:r>
          </w:p>
          <w:p>
            <w:pPr>
              <w:widowControl/>
              <w:jc w:val="left"/>
            </w:pPr>
            <w:r>
              <w:rPr>
                <w:rFonts w:hint="eastAsia" w:ascii="宋体" w:hAnsi="宋体" w:cs="宋体"/>
                <w:color w:val="000000"/>
                <w:kern w:val="0"/>
                <w:szCs w:val="21"/>
                <w:lang w:bidi="ar"/>
              </w:rPr>
              <w:t xml:space="preserve">d.若投标保证金采用投标信用保函形式提交，投标文件中应提供投 </w:t>
            </w:r>
          </w:p>
          <w:p>
            <w:pPr>
              <w:widowControl/>
              <w:jc w:val="left"/>
            </w:pPr>
            <w:r>
              <w:rPr>
                <w:rFonts w:hint="eastAsia" w:ascii="宋体" w:hAnsi="宋体" w:cs="宋体"/>
                <w:color w:val="000000"/>
                <w:kern w:val="0"/>
                <w:szCs w:val="21"/>
                <w:lang w:bidi="ar"/>
              </w:rPr>
              <w:t xml:space="preserve">标信用保函的复印件。 </w:t>
            </w:r>
          </w:p>
          <w:p>
            <w:pPr>
              <w:widowControl/>
              <w:jc w:val="left"/>
            </w:pPr>
            <w:r>
              <w:rPr>
                <w:rFonts w:hint="eastAsia" w:ascii="宋体" w:hAnsi="宋体" w:cs="宋体"/>
                <w:color w:val="000000"/>
                <w:kern w:val="0"/>
                <w:szCs w:val="21"/>
                <w:lang w:bidi="ar"/>
              </w:rPr>
              <w:t xml:space="preserve">（4）投标人按照招标文件规定的格式提供了法定代表人身份证明， </w:t>
            </w:r>
          </w:p>
          <w:p>
            <w:pPr>
              <w:widowControl/>
              <w:jc w:val="left"/>
            </w:pPr>
            <w:r>
              <w:rPr>
                <w:rFonts w:hint="eastAsia" w:ascii="宋体" w:hAnsi="宋体" w:cs="宋体"/>
                <w:color w:val="000000"/>
                <w:kern w:val="0"/>
                <w:szCs w:val="21"/>
                <w:lang w:bidi="ar"/>
              </w:rPr>
              <w:t xml:space="preserve">并符合下列要求： </w:t>
            </w:r>
          </w:p>
          <w:p>
            <w:pPr>
              <w:widowControl/>
              <w:jc w:val="left"/>
            </w:pPr>
            <w:r>
              <w:rPr>
                <w:rFonts w:hint="eastAsia" w:ascii="宋体" w:hAnsi="宋体" w:cs="宋体"/>
                <w:color w:val="000000"/>
                <w:kern w:val="0"/>
                <w:szCs w:val="21"/>
                <w:lang w:bidi="ar"/>
              </w:rPr>
              <w:t xml:space="preserve">a.法定代表人在法定代表人身份证明上签名； </w:t>
            </w:r>
          </w:p>
          <w:p>
            <w:pPr>
              <w:widowControl/>
              <w:jc w:val="left"/>
            </w:pPr>
            <w:r>
              <w:rPr>
                <w:rFonts w:hint="eastAsia" w:ascii="宋体" w:hAnsi="宋体" w:cs="宋体"/>
                <w:color w:val="000000"/>
                <w:kern w:val="0"/>
                <w:szCs w:val="21"/>
                <w:lang w:bidi="ar"/>
              </w:rPr>
              <w:t xml:space="preserve">（5）投标人法定代表人的授权代理人，需提交附有法定代表人身 </w:t>
            </w:r>
          </w:p>
          <w:p>
            <w:pPr>
              <w:widowControl/>
              <w:jc w:val="left"/>
            </w:pPr>
            <w:r>
              <w:rPr>
                <w:rFonts w:hint="eastAsia" w:ascii="宋体" w:hAnsi="宋体" w:cs="宋体"/>
                <w:color w:val="000000"/>
                <w:kern w:val="0"/>
                <w:szCs w:val="21"/>
                <w:lang w:bidi="ar"/>
              </w:rPr>
              <w:t xml:space="preserve">份证明的授权书，并符合下列要求： </w:t>
            </w:r>
          </w:p>
          <w:p>
            <w:pPr>
              <w:widowControl/>
              <w:jc w:val="left"/>
            </w:pPr>
            <w:r>
              <w:rPr>
                <w:rFonts w:hint="eastAsia" w:ascii="宋体" w:hAnsi="宋体" w:cs="宋体"/>
                <w:color w:val="000000"/>
                <w:kern w:val="0"/>
                <w:szCs w:val="21"/>
                <w:lang w:bidi="ar"/>
              </w:rPr>
              <w:t xml:space="preserve">a.授权人和被授权人均在授权书上签名； </w:t>
            </w:r>
          </w:p>
          <w:p>
            <w:pPr>
              <w:widowControl/>
              <w:jc w:val="left"/>
            </w:pPr>
            <w:r>
              <w:rPr>
                <w:rFonts w:hint="eastAsia" w:ascii="宋体" w:hAnsi="宋体" w:cs="宋体"/>
                <w:color w:val="000000"/>
                <w:kern w:val="0"/>
                <w:szCs w:val="21"/>
                <w:lang w:bidi="ar"/>
              </w:rPr>
              <w:t xml:space="preserve">（6）未对本项目试验检测范围、标准或实施等方面提出重大改变； </w:t>
            </w:r>
          </w:p>
          <w:p>
            <w:pPr>
              <w:widowControl/>
              <w:jc w:val="left"/>
            </w:pPr>
            <w:r>
              <w:rPr>
                <w:rFonts w:hint="eastAsia" w:ascii="宋体" w:hAnsi="宋体" w:cs="宋体"/>
                <w:color w:val="000000"/>
                <w:kern w:val="0"/>
                <w:szCs w:val="21"/>
                <w:lang w:bidi="ar"/>
              </w:rPr>
              <w:t xml:space="preserve">服务时间符合招标文件要求； </w:t>
            </w:r>
          </w:p>
          <w:p>
            <w:pPr>
              <w:widowControl/>
              <w:jc w:val="left"/>
            </w:pPr>
            <w:r>
              <w:rPr>
                <w:rFonts w:hint="eastAsia" w:ascii="宋体" w:hAnsi="宋体" w:cs="宋体"/>
                <w:color w:val="000000"/>
                <w:kern w:val="0"/>
                <w:szCs w:val="21"/>
                <w:lang w:bidi="ar"/>
              </w:rPr>
              <w:t xml:space="preserve">（7）投标人未以他人名义投标、未与他人串通投标、未以行贿手 </w:t>
            </w:r>
          </w:p>
          <w:p>
            <w:pPr>
              <w:widowControl/>
              <w:jc w:val="left"/>
            </w:pPr>
            <w:r>
              <w:rPr>
                <w:rFonts w:hint="eastAsia" w:ascii="宋体" w:hAnsi="宋体" w:cs="宋体"/>
                <w:color w:val="000000"/>
                <w:kern w:val="0"/>
                <w:szCs w:val="21"/>
                <w:lang w:bidi="ar"/>
              </w:rPr>
              <w:t xml:space="preserve">段谋取中标，以及未弄虚作假； </w:t>
            </w:r>
          </w:p>
          <w:p>
            <w:pPr>
              <w:widowControl/>
              <w:jc w:val="left"/>
            </w:pPr>
            <w:r>
              <w:rPr>
                <w:rFonts w:hint="eastAsia" w:ascii="宋体" w:hAnsi="宋体" w:cs="宋体"/>
                <w:color w:val="000000"/>
                <w:kern w:val="0"/>
                <w:szCs w:val="21"/>
                <w:lang w:bidi="ar"/>
              </w:rPr>
              <w:t xml:space="preserve">（8）商务技术文件中未出现报价或与报价相关的内容； </w:t>
            </w:r>
          </w:p>
          <w:p>
            <w:pPr>
              <w:widowControl/>
              <w:jc w:val="left"/>
            </w:pPr>
            <w:r>
              <w:rPr>
                <w:rFonts w:hint="eastAsia" w:ascii="宋体" w:hAnsi="宋体" w:cs="宋体"/>
                <w:color w:val="000000"/>
                <w:kern w:val="0"/>
                <w:szCs w:val="21"/>
                <w:lang w:bidi="ar"/>
              </w:rPr>
              <w:t xml:space="preserve">（9）投标文件未附有招标人不能接受的其他条件。 </w:t>
            </w:r>
          </w:p>
          <w:p>
            <w:pPr>
              <w:widowControl/>
              <w:jc w:val="left"/>
            </w:pPr>
            <w:r>
              <w:rPr>
                <w:rFonts w:hint="eastAsia" w:ascii="宋体" w:hAnsi="宋体" w:cs="宋体"/>
                <w:color w:val="000000"/>
                <w:kern w:val="0"/>
                <w:szCs w:val="21"/>
                <w:lang w:bidi="ar"/>
              </w:rPr>
              <w:t xml:space="preserve">投标文件未满足以上任一条件的，其投标视为无效，评标委员会将 </w:t>
            </w:r>
          </w:p>
          <w:p>
            <w:pPr>
              <w:widowControl/>
              <w:jc w:val="left"/>
            </w:pPr>
            <w:r>
              <w:rPr>
                <w:rFonts w:hint="eastAsia" w:ascii="宋体" w:hAnsi="宋体" w:cs="宋体"/>
                <w:color w:val="000000"/>
                <w:kern w:val="0"/>
                <w:szCs w:val="21"/>
                <w:lang w:bidi="ar"/>
              </w:rPr>
              <w:t xml:space="preserve">否决其投标。 </w:t>
            </w:r>
          </w:p>
          <w:p>
            <w:pPr>
              <w:widowControl/>
              <w:jc w:val="left"/>
            </w:pPr>
            <w:r>
              <w:rPr>
                <w:rFonts w:hint="eastAsia" w:ascii="宋体" w:hAnsi="宋体" w:cs="宋体"/>
                <w:b/>
                <w:bCs/>
                <w:color w:val="000000"/>
                <w:kern w:val="0"/>
                <w:szCs w:val="21"/>
                <w:lang w:bidi="ar"/>
              </w:rPr>
              <w:t xml:space="preserve">第二个信封（报价文件）评审标准： </w:t>
            </w:r>
          </w:p>
          <w:p>
            <w:pPr>
              <w:widowControl/>
              <w:jc w:val="left"/>
            </w:pPr>
            <w:r>
              <w:rPr>
                <w:rFonts w:hint="eastAsia" w:ascii="宋体" w:hAnsi="宋体" w:cs="宋体"/>
                <w:color w:val="000000"/>
                <w:kern w:val="0"/>
                <w:szCs w:val="21"/>
                <w:lang w:bidi="ar"/>
              </w:rPr>
              <w:t xml:space="preserve">（1）报价书按招标文件规定签字、盖章齐全，填报了投标价； </w:t>
            </w:r>
          </w:p>
          <w:p>
            <w:pPr>
              <w:widowControl/>
              <w:jc w:val="left"/>
            </w:pPr>
            <w:r>
              <w:rPr>
                <w:rFonts w:hint="eastAsia" w:ascii="宋体" w:hAnsi="宋体" w:cs="宋体"/>
                <w:color w:val="000000"/>
                <w:kern w:val="0"/>
                <w:szCs w:val="21"/>
                <w:lang w:bidi="ar"/>
              </w:rPr>
              <w:t xml:space="preserve">（2）一份投标文件应只有一个投标报价，不得提交选择性报价； </w:t>
            </w:r>
          </w:p>
          <w:p>
            <w:pPr>
              <w:widowControl/>
              <w:jc w:val="left"/>
            </w:pPr>
            <w:r>
              <w:rPr>
                <w:rFonts w:hint="eastAsia" w:ascii="宋体" w:hAnsi="宋体" w:cs="宋体"/>
                <w:color w:val="000000"/>
                <w:kern w:val="0"/>
                <w:szCs w:val="21"/>
                <w:lang w:bidi="ar"/>
              </w:rPr>
              <w:t xml:space="preserve">（3）投标报价未高于投标控制价上限； </w:t>
            </w:r>
          </w:p>
          <w:p>
            <w:pPr>
              <w:widowControl/>
              <w:jc w:val="left"/>
            </w:pPr>
            <w:r>
              <w:rPr>
                <w:rFonts w:hint="eastAsia" w:ascii="宋体" w:hAnsi="宋体" w:cs="宋体"/>
                <w:color w:val="000000"/>
                <w:kern w:val="0"/>
                <w:szCs w:val="21"/>
                <w:lang w:bidi="ar"/>
              </w:rPr>
              <w:t>（4）投标文件不应附有招标人不能接受的条件。</w:t>
            </w:r>
          </w:p>
          <w:p>
            <w:pPr>
              <w:widowControl/>
              <w:jc w:val="left"/>
              <w:rPr>
                <w:rFonts w:hint="eastAsia" w:ascii="宋体" w:hAnsi="宋体" w:cs="宋体"/>
                <w:w w:val="99"/>
              </w:rPr>
            </w:pPr>
            <w:r>
              <w:rPr>
                <w:rFonts w:hint="eastAsia" w:ascii="宋体" w:hAnsi="宋体" w:cs="宋体"/>
                <w:color w:val="000000"/>
                <w:kern w:val="0"/>
                <w:szCs w:val="21"/>
                <w:lang w:bidi="ar"/>
              </w:rPr>
              <w:t xml:space="preserve">投标文件未满足以上任一条件的，其投标视为无效，评标委员会将否决其投标。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ascii="宋体" w:hAnsi="宋体" w:cs="宋体"/>
              </w:rPr>
            </w:pPr>
            <w:r>
              <w:rPr>
                <w:rFonts w:hint="eastAsia" w:ascii="宋体" w:hAnsi="宋体" w:cs="宋体"/>
              </w:rPr>
              <w:t>2.1.2</w:t>
            </w:r>
          </w:p>
        </w:tc>
        <w:tc>
          <w:tcPr>
            <w:tcW w:w="1482" w:type="dxa"/>
            <w:gridSpan w:val="3"/>
            <w:noWrap w:val="0"/>
            <w:vAlign w:val="center"/>
          </w:tcPr>
          <w:p>
            <w:pPr>
              <w:jc w:val="center"/>
              <w:rPr>
                <w:rFonts w:hint="eastAsia" w:ascii="宋体" w:hAnsi="宋体" w:cs="宋体"/>
              </w:rPr>
            </w:pPr>
            <w:r>
              <w:rPr>
                <w:rFonts w:hint="eastAsia" w:ascii="宋体" w:hAnsi="宋体" w:cs="宋体"/>
              </w:rPr>
              <w:t>资格评审标准</w:t>
            </w:r>
          </w:p>
        </w:tc>
        <w:tc>
          <w:tcPr>
            <w:tcW w:w="6893" w:type="dxa"/>
            <w:gridSpan w:val="3"/>
            <w:noWrap w:val="0"/>
            <w:vAlign w:val="top"/>
          </w:tcPr>
          <w:p>
            <w:pPr>
              <w:spacing w:line="400" w:lineRule="exact"/>
              <w:ind w:firstLine="210"/>
              <w:rPr>
                <w:rFonts w:hint="eastAsia" w:ascii="宋体" w:hAnsi="宋体" w:cs="宋体"/>
              </w:rPr>
            </w:pPr>
            <w:r>
              <w:rPr>
                <w:rFonts w:hint="eastAsia" w:ascii="宋体" w:hAnsi="宋体" w:cs="宋体"/>
              </w:rPr>
              <w:t>(1)投标人具备有效的营业执照或事业单位法人证书；资质符合招标文件规定；</w:t>
            </w:r>
          </w:p>
          <w:p>
            <w:pPr>
              <w:spacing w:line="400" w:lineRule="exact"/>
              <w:ind w:firstLine="210"/>
              <w:rPr>
                <w:rFonts w:hint="eastAsia" w:ascii="宋体" w:hAnsi="宋体" w:cs="宋体"/>
              </w:rPr>
            </w:pPr>
            <w:r>
              <w:rPr>
                <w:rFonts w:hint="eastAsia" w:ascii="宋体" w:hAnsi="宋体" w:cs="宋体"/>
              </w:rPr>
              <w:t>(2)投标人的业绩要求符合招标文件规定；</w:t>
            </w:r>
          </w:p>
          <w:p>
            <w:pPr>
              <w:spacing w:line="400" w:lineRule="exact"/>
              <w:ind w:firstLine="210"/>
              <w:rPr>
                <w:rFonts w:hint="eastAsia" w:ascii="宋体" w:hAnsi="宋体" w:cs="宋体"/>
              </w:rPr>
            </w:pPr>
            <w:r>
              <w:rPr>
                <w:rFonts w:hint="eastAsia" w:ascii="宋体" w:hAnsi="宋体" w:cs="宋体"/>
              </w:rPr>
              <w:t>(3)投标人的信誉符合招标文件规定；</w:t>
            </w:r>
          </w:p>
          <w:p>
            <w:pPr>
              <w:spacing w:line="400" w:lineRule="exact"/>
              <w:ind w:firstLine="210"/>
              <w:rPr>
                <w:rFonts w:hint="eastAsia" w:ascii="宋体" w:hAnsi="宋体" w:cs="宋体"/>
              </w:rPr>
            </w:pPr>
            <w:r>
              <w:rPr>
                <w:rFonts w:hint="eastAsia" w:ascii="宋体" w:hAnsi="宋体" w:cs="宋体"/>
              </w:rPr>
              <w:t>(4)投标人的主要管理及技术人员资格符合招标文件规定；</w:t>
            </w:r>
          </w:p>
          <w:p>
            <w:pPr>
              <w:spacing w:line="400" w:lineRule="exact"/>
              <w:ind w:firstLine="210"/>
              <w:rPr>
                <w:rFonts w:hint="eastAsia" w:ascii="宋体" w:hAnsi="宋体" w:cs="宋体"/>
              </w:rPr>
            </w:pPr>
            <w:r>
              <w:rPr>
                <w:rFonts w:hint="eastAsia" w:ascii="宋体" w:hAnsi="宋体" w:cs="宋体"/>
              </w:rPr>
              <w:t>(5)投标人的试验检测仪器、设备应符合招标文件规定；</w:t>
            </w:r>
          </w:p>
          <w:p>
            <w:pPr>
              <w:spacing w:line="400" w:lineRule="exact"/>
              <w:ind w:firstLine="210"/>
              <w:rPr>
                <w:rFonts w:hint="eastAsia" w:ascii="宋体" w:hAnsi="宋体" w:cs="宋体"/>
              </w:rPr>
            </w:pPr>
            <w:r>
              <w:rPr>
                <w:rFonts w:hint="eastAsia" w:ascii="宋体" w:hAnsi="宋体" w:cs="宋体"/>
              </w:rPr>
              <w:t>(6)投标人的其它要求符合招标文件规定；</w:t>
            </w:r>
          </w:p>
          <w:p>
            <w:pPr>
              <w:spacing w:line="400" w:lineRule="exact"/>
              <w:ind w:firstLine="210"/>
              <w:rPr>
                <w:rFonts w:hint="eastAsia" w:ascii="宋体" w:hAnsi="宋体" w:cs="宋体"/>
              </w:rPr>
            </w:pPr>
            <w:r>
              <w:rPr>
                <w:rFonts w:hint="eastAsia" w:ascii="宋体" w:hAnsi="宋体" w:cs="宋体"/>
              </w:rPr>
              <w:t>(7)不存在第二章“投标人须知”第1.4.3项规定的任何一种情形。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2" w:type="dxa"/>
            <w:gridSpan w:val="7"/>
            <w:noWrap w:val="0"/>
            <w:vAlign w:val="center"/>
          </w:tcPr>
          <w:p>
            <w:pPr>
              <w:spacing w:line="400" w:lineRule="exact"/>
              <w:ind w:firstLine="211" w:firstLineChars="100"/>
              <w:rPr>
                <w:rFonts w:hint="eastAsia" w:ascii="宋体" w:hAnsi="宋体" w:cs="宋体"/>
                <w:szCs w:val="21"/>
              </w:rPr>
            </w:pPr>
            <w:r>
              <w:rPr>
                <w:rFonts w:hint="eastAsia" w:ascii="宋体" w:hAnsi="宋体" w:cs="宋体"/>
                <w:b/>
                <w:bCs/>
                <w:szCs w:val="21"/>
              </w:rPr>
              <w:t>注：上述“形式评审与响应性评审”和“资格评审”，投标人的投标文件，若有一条评审项不合格，按照“无效标”处理，不再进入后续评分或评审。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jc w:val="center"/>
        </w:trPr>
        <w:tc>
          <w:tcPr>
            <w:tcW w:w="817" w:type="dxa"/>
            <w:noWrap w:val="0"/>
            <w:vAlign w:val="center"/>
          </w:tcPr>
          <w:p>
            <w:pPr>
              <w:jc w:val="center"/>
              <w:rPr>
                <w:rFonts w:hint="eastAsia" w:ascii="宋体" w:hAnsi="宋体" w:cs="宋体"/>
              </w:rPr>
            </w:pPr>
            <w:r>
              <w:rPr>
                <w:rFonts w:hint="eastAsia" w:ascii="宋体" w:hAnsi="宋体" w:cs="宋体"/>
              </w:rPr>
              <w:t>2.2.1</w:t>
            </w:r>
          </w:p>
        </w:tc>
        <w:tc>
          <w:tcPr>
            <w:tcW w:w="1482" w:type="dxa"/>
            <w:gridSpan w:val="3"/>
            <w:noWrap w:val="0"/>
            <w:vAlign w:val="center"/>
          </w:tcPr>
          <w:p>
            <w:pPr>
              <w:jc w:val="center"/>
              <w:rPr>
                <w:rFonts w:hint="eastAsia" w:ascii="宋体" w:hAnsi="宋体" w:cs="宋体"/>
              </w:rPr>
            </w:pPr>
            <w:r>
              <w:rPr>
                <w:rFonts w:hint="eastAsia" w:ascii="宋体" w:hAnsi="宋体" w:cs="宋体"/>
              </w:rPr>
              <w:t>分值构成</w:t>
            </w:r>
          </w:p>
          <w:p>
            <w:pPr>
              <w:jc w:val="center"/>
              <w:rPr>
                <w:rFonts w:hint="eastAsia" w:ascii="宋体" w:hAnsi="宋体" w:cs="宋体"/>
              </w:rPr>
            </w:pPr>
            <w:r>
              <w:rPr>
                <w:rFonts w:hint="eastAsia" w:ascii="宋体" w:hAnsi="宋体" w:cs="宋体"/>
              </w:rPr>
              <w:t>（总分100分）</w:t>
            </w:r>
          </w:p>
        </w:tc>
        <w:tc>
          <w:tcPr>
            <w:tcW w:w="6893" w:type="dxa"/>
            <w:gridSpan w:val="3"/>
            <w:noWrap w:val="0"/>
            <w:vAlign w:val="top"/>
          </w:tcPr>
          <w:p>
            <w:pPr>
              <w:spacing w:line="400" w:lineRule="exact"/>
              <w:ind w:firstLine="210"/>
              <w:rPr>
                <w:rFonts w:hint="eastAsia" w:ascii="宋体" w:hAnsi="宋体" w:cs="宋体"/>
              </w:rPr>
            </w:pPr>
            <w:r>
              <w:rPr>
                <w:rFonts w:hint="eastAsia" w:ascii="宋体" w:hAnsi="宋体" w:cs="宋体"/>
              </w:rPr>
              <w:t>第一信封（商务文件及技术建议书）评分分值构成：</w:t>
            </w:r>
          </w:p>
          <w:p>
            <w:pPr>
              <w:spacing w:line="400" w:lineRule="exact"/>
              <w:ind w:firstLine="210"/>
              <w:rPr>
                <w:rFonts w:hint="eastAsia" w:ascii="宋体" w:hAnsi="宋体" w:cs="宋体"/>
              </w:rPr>
            </w:pPr>
            <w:r>
              <w:rPr>
                <w:rFonts w:hint="eastAsia" w:ascii="宋体" w:hAnsi="宋体" w:cs="宋体"/>
              </w:rPr>
              <w:t>技术建议书：30分</w:t>
            </w:r>
          </w:p>
          <w:p>
            <w:pPr>
              <w:spacing w:line="400" w:lineRule="exact"/>
              <w:ind w:firstLine="210"/>
              <w:rPr>
                <w:rFonts w:hint="eastAsia" w:ascii="宋体" w:hAnsi="宋体" w:cs="宋体"/>
              </w:rPr>
            </w:pPr>
            <w:r>
              <w:rPr>
                <w:rFonts w:hint="eastAsia" w:ascii="宋体" w:hAnsi="宋体" w:cs="宋体"/>
              </w:rPr>
              <w:t>主要人员：15分</w:t>
            </w:r>
          </w:p>
          <w:p>
            <w:pPr>
              <w:spacing w:line="400" w:lineRule="exact"/>
              <w:ind w:firstLine="210"/>
              <w:rPr>
                <w:rFonts w:hint="eastAsia"/>
              </w:rPr>
            </w:pPr>
            <w:r>
              <w:rPr>
                <w:rFonts w:hint="eastAsia" w:ascii="宋体" w:hAnsi="宋体" w:cs="宋体"/>
              </w:rPr>
              <w:t>企业业绩：25分</w:t>
            </w:r>
          </w:p>
          <w:p>
            <w:pPr>
              <w:spacing w:line="400" w:lineRule="exact"/>
              <w:ind w:firstLine="210"/>
              <w:rPr>
                <w:rFonts w:hint="eastAsia" w:ascii="宋体" w:hAnsi="宋体" w:cs="宋体"/>
              </w:rPr>
            </w:pPr>
            <w:r>
              <w:rPr>
                <w:rFonts w:hint="eastAsia" w:ascii="宋体" w:hAnsi="宋体" w:cs="宋体"/>
              </w:rPr>
              <w:t>技术能力（试验检测仪器、设备及检测能力）：10分</w:t>
            </w:r>
          </w:p>
          <w:p>
            <w:pPr>
              <w:spacing w:line="400" w:lineRule="exact"/>
              <w:ind w:firstLine="210"/>
              <w:rPr>
                <w:rFonts w:hint="eastAsia" w:ascii="宋体" w:hAnsi="宋体" w:cs="宋体"/>
              </w:rPr>
            </w:pPr>
            <w:r>
              <w:rPr>
                <w:rFonts w:hint="eastAsia" w:ascii="宋体" w:hAnsi="宋体" w:cs="宋体"/>
              </w:rPr>
              <w:t>履约信誉（信用等级）：10分</w:t>
            </w:r>
          </w:p>
          <w:p>
            <w:pPr>
              <w:spacing w:line="400" w:lineRule="exact"/>
              <w:ind w:firstLine="210"/>
              <w:rPr>
                <w:rFonts w:hint="eastAsia" w:ascii="宋体" w:hAnsi="宋体" w:cs="宋体"/>
              </w:rPr>
            </w:pPr>
            <w:r>
              <w:rPr>
                <w:rFonts w:hint="eastAsia" w:ascii="宋体" w:hAnsi="宋体" w:cs="宋体"/>
              </w:rPr>
              <w:t>第二信封（报价）评分分值构成：</w:t>
            </w:r>
          </w:p>
          <w:p>
            <w:pPr>
              <w:spacing w:line="400" w:lineRule="exact"/>
              <w:ind w:firstLine="210"/>
              <w:rPr>
                <w:rFonts w:hint="eastAsia" w:ascii="宋体" w:hAnsi="宋体" w:cs="宋体"/>
              </w:rPr>
            </w:pPr>
            <w:r>
              <w:rPr>
                <w:rFonts w:hint="eastAsia" w:ascii="宋体" w:hAnsi="宋体" w:cs="宋体"/>
              </w:rPr>
              <w:t>投标报价：10分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ascii="宋体" w:hAnsi="宋体" w:cs="宋体"/>
              </w:rPr>
            </w:pPr>
            <w:r>
              <w:rPr>
                <w:rFonts w:hint="eastAsia" w:ascii="宋体" w:hAnsi="宋体" w:cs="宋体"/>
              </w:rPr>
              <w:t>2.2.2</w:t>
            </w:r>
          </w:p>
        </w:tc>
        <w:tc>
          <w:tcPr>
            <w:tcW w:w="1482" w:type="dxa"/>
            <w:gridSpan w:val="3"/>
            <w:noWrap w:val="0"/>
            <w:vAlign w:val="center"/>
          </w:tcPr>
          <w:p>
            <w:pPr>
              <w:jc w:val="center"/>
              <w:rPr>
                <w:rFonts w:hint="eastAsia" w:ascii="宋体" w:hAnsi="宋体" w:cs="宋体"/>
              </w:rPr>
            </w:pPr>
            <w:r>
              <w:rPr>
                <w:rFonts w:hint="eastAsia" w:ascii="宋体" w:hAnsi="宋体" w:cs="宋体"/>
              </w:rPr>
              <w:t>评标基准价计算方法</w:t>
            </w:r>
          </w:p>
        </w:tc>
        <w:tc>
          <w:tcPr>
            <w:tcW w:w="6893" w:type="dxa"/>
            <w:gridSpan w:val="3"/>
            <w:noWrap w:val="0"/>
            <w:vAlign w:val="top"/>
          </w:tcPr>
          <w:p>
            <w:pPr>
              <w:snapToGrid w:val="0"/>
              <w:spacing w:line="400" w:lineRule="exact"/>
              <w:jc w:val="left"/>
              <w:rPr>
                <w:rFonts w:hint="eastAsia" w:ascii="宋体" w:hAnsi="宋体" w:cs="宋体"/>
                <w:b/>
                <w:bCs/>
              </w:rPr>
            </w:pPr>
            <w:r>
              <w:rPr>
                <w:rFonts w:hint="eastAsia" w:ascii="宋体" w:hAnsi="宋体" w:cs="宋体"/>
                <w:b/>
                <w:bCs/>
              </w:rPr>
              <w:t xml:space="preserve">评标基准价（D）的计算及确定： </w:t>
            </w:r>
          </w:p>
          <w:p>
            <w:pPr>
              <w:snapToGrid w:val="0"/>
              <w:spacing w:line="400" w:lineRule="exact"/>
              <w:jc w:val="left"/>
              <w:rPr>
                <w:rFonts w:hint="eastAsia" w:ascii="宋体" w:hAnsi="宋体" w:cs="宋体"/>
              </w:rPr>
            </w:pPr>
            <w:r>
              <w:rPr>
                <w:rFonts w:hint="eastAsia" w:ascii="宋体" w:hAnsi="宋体" w:cs="宋体"/>
              </w:rPr>
              <w:t xml:space="preserve">（1）评标价的确定：评标价＝投标函文字报价 </w:t>
            </w:r>
          </w:p>
          <w:p>
            <w:pPr>
              <w:snapToGrid w:val="0"/>
              <w:spacing w:line="400" w:lineRule="exact"/>
              <w:jc w:val="left"/>
              <w:rPr>
                <w:rFonts w:hint="eastAsia" w:ascii="宋体" w:hAnsi="宋体" w:cs="宋体"/>
              </w:rPr>
            </w:pPr>
            <w:r>
              <w:rPr>
                <w:rFonts w:hint="eastAsia" w:ascii="宋体" w:hAnsi="宋体" w:cs="宋体"/>
              </w:rPr>
              <w:t xml:space="preserve">（2）除按本项目招标文件投标人须知第 5.2.4 项规定不进入评 </w:t>
            </w:r>
          </w:p>
          <w:p>
            <w:pPr>
              <w:snapToGrid w:val="0"/>
              <w:spacing w:line="400" w:lineRule="exact"/>
              <w:jc w:val="left"/>
              <w:rPr>
                <w:rFonts w:hint="eastAsia" w:ascii="宋体" w:hAnsi="宋体" w:cs="宋体"/>
              </w:rPr>
            </w:pPr>
            <w:r>
              <w:rPr>
                <w:rFonts w:hint="eastAsia" w:ascii="宋体" w:hAnsi="宋体" w:cs="宋体"/>
              </w:rPr>
              <w:t xml:space="preserve">标基准价计算的投标报价之外，评标价平均值按照以下原则计算： </w:t>
            </w:r>
          </w:p>
          <w:p>
            <w:pPr>
              <w:snapToGrid w:val="0"/>
              <w:spacing w:line="400" w:lineRule="exact"/>
              <w:jc w:val="left"/>
              <w:rPr>
                <w:rFonts w:hint="eastAsia" w:ascii="宋体" w:hAnsi="宋体" w:cs="宋体"/>
              </w:rPr>
            </w:pPr>
            <w:r>
              <w:rPr>
                <w:rFonts w:hint="eastAsia" w:ascii="宋体" w:hAnsi="宋体" w:cs="宋体"/>
              </w:rPr>
              <w:t xml:space="preserve">①如果参与评标价平均值计算的有效投标人等于或低于 5 个时， </w:t>
            </w:r>
          </w:p>
          <w:p>
            <w:pPr>
              <w:snapToGrid w:val="0"/>
              <w:spacing w:line="400" w:lineRule="exact"/>
              <w:jc w:val="left"/>
              <w:rPr>
                <w:rFonts w:hint="eastAsia" w:ascii="宋体" w:hAnsi="宋体" w:cs="宋体"/>
              </w:rPr>
            </w:pPr>
            <w:r>
              <w:rPr>
                <w:rFonts w:hint="eastAsia" w:ascii="宋体" w:hAnsi="宋体" w:cs="宋体"/>
              </w:rPr>
              <w:t xml:space="preserve">则以参与评标价平均值计算的所有有效投标人的评标价算术平均值 </w:t>
            </w:r>
          </w:p>
          <w:p>
            <w:pPr>
              <w:snapToGrid w:val="0"/>
              <w:spacing w:line="400" w:lineRule="exact"/>
              <w:jc w:val="left"/>
              <w:rPr>
                <w:rFonts w:hint="eastAsia" w:ascii="宋体" w:hAnsi="宋体" w:cs="宋体"/>
              </w:rPr>
            </w:pPr>
            <w:r>
              <w:rPr>
                <w:rFonts w:hint="eastAsia" w:ascii="宋体" w:hAnsi="宋体" w:cs="宋体"/>
              </w:rPr>
              <w:t>为</w:t>
            </w:r>
            <w:r>
              <w:rPr>
                <w:rFonts w:hint="eastAsia" w:ascii="宋体" w:hAnsi="宋体" w:cs="宋体"/>
                <w:b/>
                <w:bCs/>
              </w:rPr>
              <w:t xml:space="preserve">评标基准价（D）； </w:t>
            </w:r>
          </w:p>
          <w:p>
            <w:pPr>
              <w:snapToGrid w:val="0"/>
              <w:spacing w:line="400" w:lineRule="exact"/>
              <w:jc w:val="left"/>
              <w:rPr>
                <w:rFonts w:hint="eastAsia" w:ascii="宋体" w:hAnsi="宋体" w:cs="宋体"/>
              </w:rPr>
            </w:pPr>
            <w:r>
              <w:rPr>
                <w:rFonts w:hint="eastAsia" w:ascii="宋体" w:hAnsi="宋体" w:cs="宋体"/>
              </w:rPr>
              <w:t xml:space="preserve">②如果参与评标价平均值计算的有效投标人在 6（含）个以上时， </w:t>
            </w:r>
          </w:p>
          <w:p>
            <w:pPr>
              <w:snapToGrid w:val="0"/>
              <w:spacing w:line="400" w:lineRule="exact"/>
              <w:jc w:val="left"/>
              <w:rPr>
                <w:rFonts w:hint="eastAsia" w:ascii="宋体" w:hAnsi="宋体" w:cs="宋体"/>
              </w:rPr>
            </w:pPr>
            <w:r>
              <w:rPr>
                <w:rFonts w:hint="eastAsia" w:ascii="宋体" w:hAnsi="宋体" w:cs="宋体"/>
              </w:rPr>
              <w:t xml:space="preserve">则去掉最高 20%家和最低 20%家（小数点后不保留有效数字，个位数 </w:t>
            </w:r>
          </w:p>
          <w:p>
            <w:pPr>
              <w:snapToGrid w:val="0"/>
              <w:spacing w:line="400" w:lineRule="exact"/>
              <w:jc w:val="left"/>
              <w:rPr>
                <w:rFonts w:hint="eastAsia" w:ascii="宋体" w:hAnsi="宋体" w:cs="宋体"/>
              </w:rPr>
            </w:pPr>
            <w:r>
              <w:rPr>
                <w:rFonts w:hint="eastAsia" w:ascii="宋体" w:hAnsi="宋体" w:cs="宋体"/>
              </w:rPr>
              <w:t xml:space="preserve">向下取整）投标人后，将剩余有效投标人的评标价进行算术平均作为 </w:t>
            </w:r>
          </w:p>
          <w:p>
            <w:pPr>
              <w:snapToGrid w:val="0"/>
              <w:spacing w:line="400" w:lineRule="exact"/>
              <w:jc w:val="left"/>
              <w:rPr>
                <w:rFonts w:hint="eastAsia" w:ascii="宋体" w:hAnsi="宋体" w:cs="宋体"/>
              </w:rPr>
            </w:pPr>
            <w:r>
              <w:rPr>
                <w:rFonts w:hint="eastAsia" w:ascii="宋体" w:hAnsi="宋体" w:cs="宋体"/>
                <w:b/>
                <w:bCs/>
              </w:rPr>
              <w:t>评标基准价（D）</w:t>
            </w:r>
            <w:r>
              <w:rPr>
                <w:rFonts w:hint="eastAsia"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rPr>
                <w:rFonts w:hint="eastAsia" w:ascii="宋体" w:hAnsi="宋体" w:cs="宋体"/>
              </w:rPr>
            </w:pPr>
            <w:r>
              <w:rPr>
                <w:rFonts w:hint="eastAsia" w:ascii="宋体" w:hAnsi="宋体" w:cs="宋体"/>
              </w:rPr>
              <w:t>2.2.3</w:t>
            </w:r>
          </w:p>
        </w:tc>
        <w:tc>
          <w:tcPr>
            <w:tcW w:w="1482" w:type="dxa"/>
            <w:gridSpan w:val="3"/>
            <w:noWrap w:val="0"/>
            <w:vAlign w:val="center"/>
          </w:tcPr>
          <w:p>
            <w:pPr>
              <w:jc w:val="center"/>
              <w:rPr>
                <w:rFonts w:hint="eastAsia" w:ascii="宋体" w:hAnsi="宋体" w:cs="宋体"/>
              </w:rPr>
            </w:pPr>
            <w:r>
              <w:rPr>
                <w:rFonts w:hint="eastAsia" w:ascii="宋体" w:hAnsi="宋体" w:cs="宋体"/>
              </w:rPr>
              <w:t>评标价的偏差率计算公式</w:t>
            </w:r>
          </w:p>
        </w:tc>
        <w:tc>
          <w:tcPr>
            <w:tcW w:w="6893" w:type="dxa"/>
            <w:gridSpan w:val="3"/>
            <w:noWrap w:val="0"/>
            <w:vAlign w:val="center"/>
          </w:tcPr>
          <w:p>
            <w:pPr>
              <w:rPr>
                <w:rFonts w:hint="eastAsia" w:ascii="宋体" w:hAnsi="宋体" w:cs="宋体"/>
              </w:rPr>
            </w:pPr>
            <w:r>
              <w:rPr>
                <w:rFonts w:hint="eastAsia" w:ascii="宋体" w:hAnsi="宋体" w:cs="宋体"/>
              </w:rPr>
              <w:t>偏差率=100%×（投标人评标价-评标基准价）/评标基准价</w:t>
            </w:r>
          </w:p>
          <w:p>
            <w:pPr>
              <w:rPr>
                <w:rFonts w:hint="eastAsia" w:ascii="宋体" w:hAnsi="宋体" w:cs="宋体"/>
              </w:rPr>
            </w:pPr>
            <w:r>
              <w:rPr>
                <w:rFonts w:hint="eastAsia" w:ascii="宋体" w:hAnsi="宋体" w:cs="宋体"/>
              </w:rPr>
              <w:t>偏差率保留</w:t>
            </w:r>
            <w:r>
              <w:rPr>
                <w:rFonts w:hint="eastAsia" w:ascii="宋体" w:hAnsi="宋体" w:cs="宋体"/>
                <w:u w:val="single"/>
              </w:rPr>
              <w:t xml:space="preserve">  2  </w:t>
            </w:r>
            <w:r>
              <w:rPr>
                <w:rFonts w:hint="eastAsia" w:ascii="宋体" w:hAnsi="宋体" w:cs="宋体"/>
              </w:rPr>
              <w:t>位小数，</w:t>
            </w:r>
            <w:r>
              <w:rPr>
                <w:rFonts w:hint="eastAsia"/>
                <w:spacing w:val="-3"/>
                <w:szCs w:val="21"/>
              </w:rPr>
              <w:t>第三位小数四舍五入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192" w:type="dxa"/>
            <w:gridSpan w:val="7"/>
            <w:noWrap w:val="0"/>
            <w:vAlign w:val="center"/>
          </w:tcPr>
          <w:p>
            <w:pPr>
              <w:rPr>
                <w:rFonts w:hint="eastAsia" w:ascii="宋体" w:hAnsi="宋体" w:cs="宋体"/>
                <w:szCs w:val="21"/>
              </w:rPr>
            </w:pPr>
            <w:r>
              <w:rPr>
                <w:rFonts w:hint="eastAsia" w:ascii="宋体" w:hAnsi="宋体" w:cs="宋体"/>
                <w:szCs w:val="21"/>
              </w:rPr>
              <w:t>评审因素与权重分值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24" w:type="dxa"/>
            <w:gridSpan w:val="2"/>
            <w:noWrap w:val="0"/>
            <w:vAlign w:val="center"/>
          </w:tcPr>
          <w:p>
            <w:pPr>
              <w:jc w:val="center"/>
              <w:rPr>
                <w:rFonts w:hint="eastAsia" w:ascii="宋体" w:hAnsi="宋体" w:cs="宋体"/>
                <w:b/>
                <w:szCs w:val="21"/>
              </w:rPr>
            </w:pPr>
            <w:r>
              <w:rPr>
                <w:rFonts w:hint="eastAsia" w:ascii="宋体" w:hAnsi="宋体" w:cs="宋体"/>
                <w:b/>
                <w:szCs w:val="21"/>
              </w:rPr>
              <w:t>条款号</w:t>
            </w:r>
          </w:p>
        </w:tc>
        <w:tc>
          <w:tcPr>
            <w:tcW w:w="1475" w:type="dxa"/>
            <w:gridSpan w:val="2"/>
            <w:noWrap w:val="0"/>
            <w:vAlign w:val="center"/>
          </w:tcPr>
          <w:p>
            <w:pPr>
              <w:jc w:val="center"/>
              <w:rPr>
                <w:rFonts w:hint="eastAsia" w:ascii="宋体" w:hAnsi="宋体" w:cs="宋体"/>
                <w:b/>
                <w:szCs w:val="21"/>
              </w:rPr>
            </w:pPr>
            <w:r>
              <w:rPr>
                <w:rFonts w:hint="eastAsia" w:ascii="宋体" w:hAnsi="宋体" w:cs="宋体"/>
                <w:b/>
                <w:szCs w:val="21"/>
              </w:rPr>
              <w:t>评分因素</w:t>
            </w:r>
          </w:p>
        </w:tc>
        <w:tc>
          <w:tcPr>
            <w:tcW w:w="2067" w:type="dxa"/>
            <w:gridSpan w:val="2"/>
            <w:noWrap w:val="0"/>
            <w:vAlign w:val="center"/>
          </w:tcPr>
          <w:p>
            <w:pPr>
              <w:jc w:val="center"/>
              <w:rPr>
                <w:rFonts w:hint="eastAsia" w:ascii="宋体" w:hAnsi="宋体" w:cs="宋体"/>
                <w:b/>
                <w:szCs w:val="21"/>
              </w:rPr>
            </w:pPr>
            <w:r>
              <w:rPr>
                <w:rFonts w:hint="eastAsia" w:ascii="宋体" w:hAnsi="宋体" w:cs="宋体"/>
                <w:b/>
                <w:szCs w:val="21"/>
              </w:rPr>
              <w:t>各评分因素细分项</w:t>
            </w:r>
          </w:p>
        </w:tc>
        <w:tc>
          <w:tcPr>
            <w:tcW w:w="4826" w:type="dxa"/>
            <w:noWrap w:val="0"/>
            <w:vAlign w:val="center"/>
          </w:tcPr>
          <w:p>
            <w:pPr>
              <w:jc w:val="center"/>
              <w:rPr>
                <w:rFonts w:hint="eastAsia" w:ascii="宋体" w:hAnsi="宋体" w:cs="宋体"/>
                <w:b/>
                <w:szCs w:val="21"/>
              </w:rPr>
            </w:pPr>
            <w:r>
              <w:rPr>
                <w:rFonts w:hint="eastAsia" w:ascii="宋体" w:hAnsi="宋体" w:cs="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24" w:type="dxa"/>
            <w:gridSpan w:val="2"/>
            <w:vMerge w:val="restart"/>
            <w:noWrap w:val="0"/>
            <w:vAlign w:val="center"/>
          </w:tcPr>
          <w:p>
            <w:pPr>
              <w:jc w:val="center"/>
              <w:rPr>
                <w:rFonts w:hint="eastAsia" w:ascii="宋体" w:hAnsi="宋体" w:cs="宋体"/>
                <w:szCs w:val="21"/>
              </w:rPr>
            </w:pPr>
            <w:r>
              <w:rPr>
                <w:rFonts w:hint="eastAsia" w:ascii="宋体" w:hAnsi="宋体" w:cs="宋体"/>
                <w:szCs w:val="21"/>
              </w:rPr>
              <w:t>2.2.4（1）</w:t>
            </w:r>
          </w:p>
        </w:tc>
        <w:tc>
          <w:tcPr>
            <w:tcW w:w="1475" w:type="dxa"/>
            <w:gridSpan w:val="2"/>
            <w:vMerge w:val="restart"/>
            <w:noWrap w:val="0"/>
            <w:vAlign w:val="center"/>
          </w:tcPr>
          <w:p>
            <w:pPr>
              <w:jc w:val="center"/>
              <w:rPr>
                <w:rFonts w:hint="eastAsia" w:ascii="宋体" w:hAnsi="宋体" w:cs="宋体"/>
                <w:szCs w:val="21"/>
              </w:rPr>
            </w:pPr>
            <w:r>
              <w:rPr>
                <w:rFonts w:hint="eastAsia" w:ascii="宋体" w:hAnsi="宋体" w:cs="宋体"/>
                <w:szCs w:val="21"/>
              </w:rPr>
              <w:t>技术建议书</w:t>
            </w:r>
          </w:p>
          <w:p>
            <w:pPr>
              <w:pStyle w:val="2"/>
              <w:rPr>
                <w:rFonts w:hint="eastAsia"/>
                <w:lang w:val="en-US" w:eastAsia="zh-CN"/>
              </w:rPr>
            </w:pPr>
            <w:r>
              <w:rPr>
                <w:rFonts w:hint="eastAsia" w:ascii="宋体" w:hAnsi="宋体" w:cs="宋体"/>
                <w:szCs w:val="21"/>
                <w:lang w:val="en-US" w:eastAsia="zh-CN"/>
              </w:rPr>
              <w:t>（30分）</w:t>
            </w:r>
          </w:p>
        </w:tc>
        <w:tc>
          <w:tcPr>
            <w:tcW w:w="2067" w:type="dxa"/>
            <w:gridSpan w:val="2"/>
            <w:noWrap w:val="0"/>
            <w:vAlign w:val="center"/>
          </w:tcPr>
          <w:p>
            <w:pPr>
              <w:jc w:val="center"/>
              <w:rPr>
                <w:rFonts w:hint="eastAsia" w:ascii="宋体" w:hAnsi="宋体" w:cs="宋体"/>
                <w:szCs w:val="21"/>
              </w:rPr>
            </w:pPr>
          </w:p>
          <w:p>
            <w:pPr>
              <w:widowControl/>
              <w:jc w:val="center"/>
            </w:pPr>
            <w:r>
              <w:rPr>
                <w:rFonts w:hint="eastAsia" w:ascii="宋体" w:hAnsi="宋体" w:cs="宋体"/>
                <w:color w:val="000000"/>
                <w:kern w:val="0"/>
                <w:szCs w:val="21"/>
                <w:lang w:bidi="ar"/>
              </w:rPr>
              <w:t>组织机构设</w:t>
            </w:r>
          </w:p>
          <w:p>
            <w:pPr>
              <w:widowControl/>
              <w:jc w:val="center"/>
            </w:pPr>
            <w:r>
              <w:rPr>
                <w:rFonts w:hint="eastAsia" w:ascii="宋体" w:hAnsi="宋体" w:cs="宋体"/>
                <w:color w:val="000000"/>
                <w:kern w:val="0"/>
                <w:szCs w:val="21"/>
                <w:lang w:bidi="ar"/>
              </w:rPr>
              <w:t>置与人员安</w:t>
            </w:r>
          </w:p>
          <w:p>
            <w:pPr>
              <w:widowControl/>
              <w:jc w:val="center"/>
              <w:rPr>
                <w:rFonts w:hint="eastAsia" w:ascii="宋体" w:hAnsi="宋体" w:cs="宋体"/>
              </w:rPr>
            </w:pPr>
            <w:r>
              <w:rPr>
                <w:rFonts w:hint="eastAsia" w:ascii="宋体" w:hAnsi="宋体" w:cs="宋体"/>
                <w:color w:val="000000"/>
                <w:kern w:val="0"/>
                <w:szCs w:val="21"/>
                <w:lang w:bidi="ar"/>
              </w:rPr>
              <w:t>排（3 分）</w:t>
            </w:r>
          </w:p>
        </w:tc>
        <w:tc>
          <w:tcPr>
            <w:tcW w:w="4826" w:type="dxa"/>
            <w:noWrap w:val="0"/>
            <w:vAlign w:val="center"/>
          </w:tcPr>
          <w:p>
            <w:pPr>
              <w:snapToGrid w:val="0"/>
              <w:jc w:val="left"/>
              <w:rPr>
                <w:rFonts w:hint="eastAsia" w:ascii="宋体" w:hAnsi="宋体" w:cs="宋体"/>
              </w:rPr>
            </w:pPr>
            <w:r>
              <w:rPr>
                <w:rFonts w:hint="eastAsia" w:ascii="宋体" w:hAnsi="宋体" w:cs="宋体"/>
              </w:rPr>
              <w:t xml:space="preserve">a.组织机构设置（2 分）：一般得 1.2 分；合格得 1.2-1.6分；较好得 1.6-2 分； </w:t>
            </w:r>
          </w:p>
          <w:p>
            <w:pPr>
              <w:snapToGrid w:val="0"/>
              <w:jc w:val="left"/>
              <w:rPr>
                <w:rFonts w:hint="eastAsia" w:ascii="宋体" w:hAnsi="宋体" w:cs="宋体"/>
              </w:rPr>
            </w:pPr>
            <w:r>
              <w:rPr>
                <w:rFonts w:hint="eastAsia" w:ascii="宋体" w:hAnsi="宋体" w:cs="宋体"/>
              </w:rPr>
              <w:t xml:space="preserve">b.人员安排（1 分）：一般得 0.6 分；较合理得 0.6-0.8； </w:t>
            </w:r>
          </w:p>
          <w:p>
            <w:pPr>
              <w:snapToGrid w:val="0"/>
              <w:jc w:val="left"/>
              <w:rPr>
                <w:rFonts w:hint="eastAsia" w:ascii="宋体" w:hAnsi="宋体" w:cs="宋体"/>
              </w:rPr>
            </w:pPr>
            <w:r>
              <w:rPr>
                <w:rFonts w:hint="eastAsia" w:ascii="宋体" w:hAnsi="宋体" w:cs="宋体"/>
              </w:rPr>
              <w:t xml:space="preserve">合理得 1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24" w:type="dxa"/>
            <w:gridSpan w:val="2"/>
            <w:vMerge w:val="continue"/>
            <w:noWrap w:val="0"/>
            <w:vAlign w:val="center"/>
          </w:tcPr>
          <w:p>
            <w:pPr>
              <w:jc w:val="center"/>
              <w:rPr>
                <w:rFonts w:hint="eastAsia" w:ascii="宋体" w:hAnsi="宋体" w:cs="宋体"/>
                <w:szCs w:val="21"/>
              </w:rPr>
            </w:pPr>
          </w:p>
        </w:tc>
        <w:tc>
          <w:tcPr>
            <w:tcW w:w="1475" w:type="dxa"/>
            <w:gridSpan w:val="2"/>
            <w:vMerge w:val="continue"/>
            <w:noWrap w:val="0"/>
            <w:vAlign w:val="center"/>
          </w:tcPr>
          <w:p>
            <w:pPr>
              <w:jc w:val="center"/>
              <w:rPr>
                <w:rFonts w:hint="eastAsia" w:ascii="宋体" w:hAnsi="宋体" w:cs="宋体"/>
                <w:szCs w:val="21"/>
              </w:rPr>
            </w:pPr>
          </w:p>
        </w:tc>
        <w:tc>
          <w:tcPr>
            <w:tcW w:w="2067" w:type="dxa"/>
            <w:gridSpan w:val="2"/>
            <w:noWrap w:val="0"/>
            <w:vAlign w:val="center"/>
          </w:tcPr>
          <w:p>
            <w:pPr>
              <w:snapToGrid w:val="0"/>
              <w:jc w:val="center"/>
              <w:rPr>
                <w:rFonts w:hint="eastAsia" w:ascii="宋体" w:hAnsi="宋体" w:cs="宋体"/>
              </w:rPr>
            </w:pPr>
            <w:r>
              <w:rPr>
                <w:rFonts w:hint="eastAsia" w:ascii="宋体" w:hAnsi="宋体" w:cs="宋体"/>
              </w:rPr>
              <w:t>试验检测服</w:t>
            </w:r>
          </w:p>
          <w:p>
            <w:pPr>
              <w:snapToGrid w:val="0"/>
              <w:jc w:val="center"/>
              <w:rPr>
                <w:rFonts w:hint="eastAsia" w:ascii="宋体" w:hAnsi="宋体" w:cs="宋体"/>
              </w:rPr>
            </w:pPr>
            <w:r>
              <w:rPr>
                <w:rFonts w:hint="eastAsia" w:ascii="宋体" w:hAnsi="宋体" w:cs="宋体"/>
              </w:rPr>
              <w:t>务的程序与</w:t>
            </w:r>
          </w:p>
          <w:p>
            <w:pPr>
              <w:snapToGrid w:val="0"/>
              <w:jc w:val="center"/>
              <w:rPr>
                <w:rFonts w:hint="eastAsia" w:ascii="宋体" w:hAnsi="宋体" w:cs="宋体"/>
              </w:rPr>
            </w:pPr>
            <w:r>
              <w:rPr>
                <w:rFonts w:hint="eastAsia" w:ascii="宋体" w:hAnsi="宋体" w:cs="宋体"/>
              </w:rPr>
              <w:t>方法</w:t>
            </w:r>
          </w:p>
          <w:p>
            <w:pPr>
              <w:snapToGrid w:val="0"/>
              <w:jc w:val="center"/>
              <w:rPr>
                <w:rFonts w:hint="eastAsia" w:ascii="宋体" w:hAnsi="宋体" w:cs="宋体"/>
              </w:rPr>
            </w:pPr>
            <w:r>
              <w:rPr>
                <w:rFonts w:hint="eastAsia" w:ascii="宋体" w:hAnsi="宋体" w:cs="宋体"/>
              </w:rPr>
              <w:t>（10分）</w:t>
            </w:r>
          </w:p>
        </w:tc>
        <w:tc>
          <w:tcPr>
            <w:tcW w:w="4826" w:type="dxa"/>
            <w:noWrap w:val="0"/>
            <w:vAlign w:val="center"/>
          </w:tcPr>
          <w:p>
            <w:pPr>
              <w:snapToGrid w:val="0"/>
              <w:jc w:val="left"/>
              <w:rPr>
                <w:rFonts w:hint="eastAsia" w:ascii="宋体" w:hAnsi="宋体" w:cs="宋体"/>
              </w:rPr>
            </w:pPr>
            <w:r>
              <w:rPr>
                <w:rFonts w:hint="eastAsia" w:ascii="宋体" w:hAnsi="宋体" w:cs="宋体"/>
              </w:rPr>
              <w:t xml:space="preserve">a.基本合理可行，基本反映了科学性、准确性、真实性、时效性得 6-8 分； </w:t>
            </w:r>
          </w:p>
          <w:p>
            <w:pPr>
              <w:snapToGrid w:val="0"/>
              <w:jc w:val="left"/>
              <w:rPr>
                <w:rFonts w:hint="eastAsia" w:ascii="宋体" w:hAnsi="宋体" w:cs="宋体"/>
              </w:rPr>
            </w:pPr>
            <w:r>
              <w:rPr>
                <w:rFonts w:hint="eastAsia" w:ascii="宋体" w:hAnsi="宋体" w:cs="宋体"/>
              </w:rPr>
              <w:t>b.较合理可行，能反映了科学性、准确性、真实性、时效性得 8-9 分；</w:t>
            </w:r>
          </w:p>
          <w:p>
            <w:pPr>
              <w:widowControl/>
              <w:jc w:val="left"/>
              <w:rPr>
                <w:rFonts w:hint="eastAsia"/>
              </w:rPr>
            </w:pPr>
            <w:r>
              <w:rPr>
                <w:rFonts w:hint="eastAsia" w:ascii="宋体" w:hAnsi="宋体" w:cs="宋体"/>
                <w:color w:val="000000"/>
                <w:kern w:val="0"/>
                <w:szCs w:val="21"/>
                <w:lang w:bidi="ar"/>
              </w:rPr>
              <w:t>c.合理可行，较好反映了科学性、准确性、真实性、时效性得 9-10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24" w:type="dxa"/>
            <w:gridSpan w:val="2"/>
            <w:vMerge w:val="continue"/>
            <w:noWrap w:val="0"/>
            <w:vAlign w:val="center"/>
          </w:tcPr>
          <w:p>
            <w:pPr>
              <w:jc w:val="center"/>
              <w:rPr>
                <w:rFonts w:hint="eastAsia" w:ascii="宋体" w:hAnsi="宋体" w:cs="宋体"/>
                <w:szCs w:val="21"/>
              </w:rPr>
            </w:pPr>
          </w:p>
        </w:tc>
        <w:tc>
          <w:tcPr>
            <w:tcW w:w="1475" w:type="dxa"/>
            <w:gridSpan w:val="2"/>
            <w:vMerge w:val="continue"/>
            <w:noWrap w:val="0"/>
            <w:vAlign w:val="center"/>
          </w:tcPr>
          <w:p>
            <w:pPr>
              <w:jc w:val="center"/>
              <w:rPr>
                <w:rFonts w:hint="eastAsia" w:ascii="宋体" w:hAnsi="宋体" w:cs="宋体"/>
                <w:szCs w:val="21"/>
              </w:rPr>
            </w:pPr>
          </w:p>
        </w:tc>
        <w:tc>
          <w:tcPr>
            <w:tcW w:w="2067" w:type="dxa"/>
            <w:gridSpan w:val="2"/>
            <w:noWrap w:val="0"/>
            <w:vAlign w:val="center"/>
          </w:tcPr>
          <w:p>
            <w:pPr>
              <w:snapToGrid w:val="0"/>
              <w:jc w:val="center"/>
              <w:rPr>
                <w:rFonts w:hint="eastAsia" w:ascii="宋体" w:hAnsi="宋体" w:cs="宋体"/>
              </w:rPr>
            </w:pPr>
            <w:r>
              <w:rPr>
                <w:rFonts w:hint="eastAsia" w:ascii="宋体" w:hAnsi="宋体" w:cs="宋体"/>
              </w:rPr>
              <w:t>试验检测服</w:t>
            </w:r>
          </w:p>
          <w:p>
            <w:pPr>
              <w:snapToGrid w:val="0"/>
              <w:jc w:val="center"/>
              <w:rPr>
                <w:rFonts w:hint="eastAsia" w:ascii="宋体" w:hAnsi="宋体" w:cs="宋体"/>
              </w:rPr>
            </w:pPr>
            <w:r>
              <w:rPr>
                <w:rFonts w:hint="eastAsia" w:ascii="宋体" w:hAnsi="宋体" w:cs="宋体"/>
              </w:rPr>
              <w:t>务的目标及</w:t>
            </w:r>
          </w:p>
          <w:p>
            <w:pPr>
              <w:snapToGrid w:val="0"/>
              <w:jc w:val="center"/>
              <w:rPr>
                <w:rFonts w:hint="eastAsia" w:ascii="宋体" w:hAnsi="宋体" w:cs="宋体"/>
              </w:rPr>
            </w:pPr>
            <w:r>
              <w:rPr>
                <w:rFonts w:hint="eastAsia" w:ascii="宋体" w:hAnsi="宋体" w:cs="宋体"/>
              </w:rPr>
              <w:t>保证措施</w:t>
            </w:r>
          </w:p>
          <w:p>
            <w:pPr>
              <w:snapToGrid w:val="0"/>
              <w:jc w:val="center"/>
              <w:rPr>
                <w:rFonts w:hint="eastAsia" w:ascii="宋体" w:hAnsi="宋体" w:cs="宋体"/>
              </w:rPr>
            </w:pPr>
            <w:r>
              <w:rPr>
                <w:rFonts w:hint="eastAsia" w:ascii="宋体" w:hAnsi="宋体" w:cs="宋体"/>
              </w:rPr>
              <w:t>（5分）</w:t>
            </w:r>
          </w:p>
        </w:tc>
        <w:tc>
          <w:tcPr>
            <w:tcW w:w="4826" w:type="dxa"/>
            <w:noWrap w:val="0"/>
            <w:vAlign w:val="center"/>
          </w:tcPr>
          <w:p>
            <w:pPr>
              <w:widowControl/>
              <w:jc w:val="left"/>
            </w:pPr>
            <w:r>
              <w:rPr>
                <w:rFonts w:hint="eastAsia" w:ascii="宋体" w:hAnsi="宋体" w:cs="宋体"/>
                <w:color w:val="000000"/>
                <w:kern w:val="0"/>
                <w:szCs w:val="21"/>
                <w:lang w:bidi="ar"/>
              </w:rPr>
              <w:t xml:space="preserve">a.试验检测服务的目标及保证措施一般得 3-4分； </w:t>
            </w:r>
          </w:p>
          <w:p>
            <w:pPr>
              <w:widowControl/>
              <w:jc w:val="left"/>
            </w:pPr>
            <w:r>
              <w:rPr>
                <w:rFonts w:hint="eastAsia" w:ascii="宋体" w:hAnsi="宋体" w:cs="宋体"/>
                <w:color w:val="000000"/>
                <w:kern w:val="0"/>
                <w:szCs w:val="21"/>
                <w:lang w:bidi="ar"/>
              </w:rPr>
              <w:t xml:space="preserve">b.试验检测服务的目标及保证措施较好得 4-4.5分； </w:t>
            </w:r>
          </w:p>
          <w:p>
            <w:pPr>
              <w:widowControl/>
              <w:jc w:val="left"/>
              <w:rPr>
                <w:rFonts w:hint="eastAsia" w:ascii="宋体" w:hAnsi="宋体" w:cs="宋体"/>
              </w:rPr>
            </w:pPr>
            <w:r>
              <w:rPr>
                <w:rFonts w:hint="eastAsia" w:ascii="宋体" w:hAnsi="宋体" w:cs="宋体"/>
                <w:color w:val="000000"/>
                <w:kern w:val="0"/>
                <w:szCs w:val="21"/>
                <w:lang w:bidi="ar"/>
              </w:rPr>
              <w:t xml:space="preserve">c.试验检测服务的目标及保证措施得力得 4.5-5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824" w:type="dxa"/>
            <w:gridSpan w:val="2"/>
            <w:vMerge w:val="continue"/>
            <w:noWrap w:val="0"/>
            <w:vAlign w:val="center"/>
          </w:tcPr>
          <w:p>
            <w:pPr>
              <w:jc w:val="center"/>
              <w:rPr>
                <w:rFonts w:hint="eastAsia" w:ascii="宋体" w:hAnsi="宋体" w:cs="宋体"/>
                <w:szCs w:val="21"/>
              </w:rPr>
            </w:pPr>
          </w:p>
        </w:tc>
        <w:tc>
          <w:tcPr>
            <w:tcW w:w="1475" w:type="dxa"/>
            <w:gridSpan w:val="2"/>
            <w:vMerge w:val="continue"/>
            <w:noWrap w:val="0"/>
            <w:vAlign w:val="center"/>
          </w:tcPr>
          <w:p>
            <w:pPr>
              <w:jc w:val="center"/>
              <w:rPr>
                <w:rFonts w:hint="eastAsia" w:ascii="宋体" w:hAnsi="宋体" w:cs="宋体"/>
                <w:szCs w:val="21"/>
              </w:rPr>
            </w:pPr>
          </w:p>
        </w:tc>
        <w:tc>
          <w:tcPr>
            <w:tcW w:w="2067" w:type="dxa"/>
            <w:gridSpan w:val="2"/>
            <w:noWrap w:val="0"/>
            <w:vAlign w:val="center"/>
          </w:tcPr>
          <w:p>
            <w:pPr>
              <w:widowControl/>
              <w:jc w:val="center"/>
            </w:pPr>
            <w:r>
              <w:rPr>
                <w:rFonts w:hint="eastAsia" w:ascii="宋体" w:hAnsi="宋体" w:cs="宋体"/>
                <w:color w:val="000000"/>
                <w:kern w:val="0"/>
                <w:szCs w:val="21"/>
                <w:lang w:bidi="ar"/>
              </w:rPr>
              <w:t>试验检测工</w:t>
            </w:r>
          </w:p>
          <w:p>
            <w:pPr>
              <w:widowControl/>
              <w:jc w:val="center"/>
            </w:pPr>
            <w:r>
              <w:rPr>
                <w:rFonts w:hint="eastAsia" w:ascii="宋体" w:hAnsi="宋体" w:cs="宋体"/>
                <w:color w:val="000000"/>
                <w:kern w:val="0"/>
                <w:szCs w:val="21"/>
                <w:lang w:bidi="ar"/>
              </w:rPr>
              <w:t>作重点和难</w:t>
            </w:r>
          </w:p>
          <w:p>
            <w:pPr>
              <w:widowControl/>
              <w:jc w:val="center"/>
            </w:pPr>
            <w:r>
              <w:rPr>
                <w:rFonts w:hint="eastAsia" w:ascii="宋体" w:hAnsi="宋体" w:cs="宋体"/>
                <w:color w:val="000000"/>
                <w:kern w:val="0"/>
                <w:szCs w:val="21"/>
                <w:lang w:bidi="ar"/>
              </w:rPr>
              <w:t>点分析及对</w:t>
            </w:r>
          </w:p>
          <w:p>
            <w:pPr>
              <w:widowControl/>
              <w:jc w:val="center"/>
            </w:pPr>
            <w:r>
              <w:rPr>
                <w:rFonts w:hint="eastAsia" w:ascii="宋体" w:hAnsi="宋体" w:cs="宋体"/>
                <w:color w:val="000000"/>
                <w:kern w:val="0"/>
                <w:szCs w:val="21"/>
                <w:lang w:bidi="ar"/>
              </w:rPr>
              <w:t>策措施</w:t>
            </w:r>
          </w:p>
          <w:p>
            <w:pPr>
              <w:widowControl/>
              <w:jc w:val="center"/>
              <w:rPr>
                <w:rFonts w:hint="eastAsia" w:ascii="宋体" w:hAnsi="宋体" w:cs="宋体"/>
              </w:rPr>
            </w:pPr>
            <w:r>
              <w:rPr>
                <w:rFonts w:hint="eastAsia" w:ascii="宋体" w:hAnsi="宋体" w:cs="宋体"/>
                <w:color w:val="000000"/>
                <w:kern w:val="0"/>
                <w:szCs w:val="21"/>
                <w:lang w:bidi="ar"/>
              </w:rPr>
              <w:t>（10分）</w:t>
            </w:r>
          </w:p>
        </w:tc>
        <w:tc>
          <w:tcPr>
            <w:tcW w:w="4826" w:type="dxa"/>
            <w:noWrap w:val="0"/>
            <w:vAlign w:val="center"/>
          </w:tcPr>
          <w:p>
            <w:pPr>
              <w:snapToGrid w:val="0"/>
              <w:jc w:val="left"/>
              <w:rPr>
                <w:rFonts w:hint="eastAsia" w:ascii="宋体" w:hAnsi="宋体" w:cs="宋体"/>
              </w:rPr>
            </w:pPr>
            <w:r>
              <w:rPr>
                <w:rFonts w:hint="eastAsia" w:ascii="宋体" w:hAnsi="宋体" w:cs="宋体"/>
              </w:rPr>
              <w:t xml:space="preserve">a.对试验检测工作重点、难点问题的把握程度（6 分）：准确，得 4.8～6 分；较准确，得 3.6～4.8 分；基本准确，得 3.6 分； </w:t>
            </w:r>
          </w:p>
          <w:p>
            <w:pPr>
              <w:snapToGrid w:val="0"/>
              <w:jc w:val="left"/>
              <w:rPr>
                <w:rFonts w:hint="eastAsia" w:ascii="宋体" w:hAnsi="宋体" w:cs="宋体"/>
              </w:rPr>
            </w:pPr>
            <w:r>
              <w:rPr>
                <w:rFonts w:hint="eastAsia" w:ascii="宋体" w:hAnsi="宋体" w:cs="宋体"/>
              </w:rPr>
              <w:t xml:space="preserve">b.对试验检测工作重点、难点问题的把握程度所提出的处理措施可行性程度（4 分）： </w:t>
            </w:r>
          </w:p>
          <w:p>
            <w:pPr>
              <w:snapToGrid w:val="0"/>
              <w:jc w:val="left"/>
              <w:rPr>
                <w:rFonts w:hint="eastAsia" w:ascii="宋体" w:hAnsi="宋体" w:cs="宋体"/>
              </w:rPr>
            </w:pPr>
            <w:r>
              <w:rPr>
                <w:rFonts w:hint="eastAsia" w:ascii="宋体" w:hAnsi="宋体" w:cs="宋体"/>
              </w:rPr>
              <w:t xml:space="preserve">有效可行，得 3.2～4 分；基本有效可行，得 2.4～3.2分；可行性一般，得 2.4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824" w:type="dxa"/>
            <w:gridSpan w:val="2"/>
            <w:vMerge w:val="continue"/>
            <w:noWrap w:val="0"/>
            <w:vAlign w:val="center"/>
          </w:tcPr>
          <w:p>
            <w:pPr>
              <w:jc w:val="center"/>
              <w:rPr>
                <w:rFonts w:hint="eastAsia" w:ascii="宋体" w:hAnsi="宋体" w:cs="宋体"/>
                <w:szCs w:val="21"/>
              </w:rPr>
            </w:pPr>
          </w:p>
        </w:tc>
        <w:tc>
          <w:tcPr>
            <w:tcW w:w="1475" w:type="dxa"/>
            <w:gridSpan w:val="2"/>
            <w:vMerge w:val="continue"/>
            <w:noWrap w:val="0"/>
            <w:vAlign w:val="center"/>
          </w:tcPr>
          <w:p>
            <w:pPr>
              <w:jc w:val="center"/>
              <w:rPr>
                <w:rFonts w:hint="eastAsia" w:ascii="宋体" w:hAnsi="宋体" w:cs="宋体"/>
                <w:szCs w:val="21"/>
              </w:rPr>
            </w:pPr>
          </w:p>
        </w:tc>
        <w:tc>
          <w:tcPr>
            <w:tcW w:w="2067" w:type="dxa"/>
            <w:gridSpan w:val="2"/>
            <w:noWrap w:val="0"/>
            <w:vAlign w:val="center"/>
          </w:tcPr>
          <w:p>
            <w:pPr>
              <w:snapToGrid w:val="0"/>
              <w:jc w:val="center"/>
              <w:rPr>
                <w:rFonts w:hint="eastAsia" w:ascii="宋体" w:hAnsi="宋体" w:cs="宋体"/>
              </w:rPr>
            </w:pPr>
            <w:r>
              <w:rPr>
                <w:rFonts w:hint="eastAsia" w:ascii="宋体" w:hAnsi="宋体" w:cs="宋体"/>
              </w:rPr>
              <w:t>建议</w:t>
            </w:r>
          </w:p>
          <w:p>
            <w:pPr>
              <w:snapToGrid w:val="0"/>
              <w:jc w:val="center"/>
              <w:rPr>
                <w:rFonts w:hint="eastAsia" w:ascii="宋体" w:hAnsi="宋体" w:cs="宋体"/>
              </w:rPr>
            </w:pPr>
            <w:r>
              <w:rPr>
                <w:rFonts w:hint="eastAsia" w:ascii="宋体" w:hAnsi="宋体" w:cs="宋体"/>
              </w:rPr>
              <w:t>（2分）</w:t>
            </w:r>
          </w:p>
          <w:p>
            <w:pPr>
              <w:snapToGrid w:val="0"/>
              <w:jc w:val="center"/>
              <w:rPr>
                <w:rFonts w:hint="eastAsia" w:ascii="宋体" w:hAnsi="宋体" w:cs="宋体"/>
              </w:rPr>
            </w:pPr>
          </w:p>
        </w:tc>
        <w:tc>
          <w:tcPr>
            <w:tcW w:w="4826" w:type="dxa"/>
            <w:noWrap w:val="0"/>
            <w:vAlign w:val="center"/>
          </w:tcPr>
          <w:p>
            <w:pPr>
              <w:widowControl/>
              <w:jc w:val="left"/>
              <w:rPr>
                <w:rFonts w:hint="eastAsia" w:ascii="宋体" w:hAnsi="宋体" w:cs="宋体"/>
              </w:rPr>
            </w:pPr>
            <w:r>
              <w:rPr>
                <w:rFonts w:hint="eastAsia" w:ascii="宋体" w:hAnsi="宋体" w:cs="宋体"/>
                <w:color w:val="000000"/>
                <w:kern w:val="0"/>
                <w:szCs w:val="21"/>
                <w:lang w:bidi="ar"/>
              </w:rPr>
              <w:t xml:space="preserve">合理可行性、可实施性、针对性进行评分，好得 1.6～2 分，较好得 1.2～1.6 分，一般得 1.2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824" w:type="dxa"/>
            <w:gridSpan w:val="2"/>
            <w:vMerge w:val="restart"/>
            <w:noWrap w:val="0"/>
            <w:vAlign w:val="center"/>
          </w:tcPr>
          <w:p>
            <w:pPr>
              <w:jc w:val="center"/>
              <w:rPr>
                <w:rFonts w:hint="eastAsia" w:ascii="宋体" w:hAnsi="宋体" w:cs="宋体"/>
              </w:rPr>
            </w:pPr>
            <w:r>
              <w:rPr>
                <w:rFonts w:hint="eastAsia" w:ascii="宋体" w:hAnsi="宋体" w:cs="宋体"/>
              </w:rPr>
              <w:t>2.2.4（2）</w:t>
            </w:r>
          </w:p>
        </w:tc>
        <w:tc>
          <w:tcPr>
            <w:tcW w:w="1475" w:type="dxa"/>
            <w:gridSpan w:val="2"/>
            <w:vMerge w:val="restart"/>
            <w:noWrap w:val="0"/>
            <w:vAlign w:val="center"/>
          </w:tcPr>
          <w:p>
            <w:pPr>
              <w:jc w:val="center"/>
              <w:rPr>
                <w:rFonts w:hint="eastAsia" w:ascii="宋体" w:hAnsi="宋体" w:cs="宋体"/>
                <w:szCs w:val="21"/>
              </w:rPr>
            </w:pPr>
            <w:r>
              <w:rPr>
                <w:rFonts w:hint="eastAsia" w:ascii="宋体" w:hAnsi="宋体" w:cs="宋体"/>
                <w:szCs w:val="21"/>
              </w:rPr>
              <w:t>主要</w:t>
            </w:r>
          </w:p>
          <w:p>
            <w:pPr>
              <w:jc w:val="center"/>
              <w:rPr>
                <w:rFonts w:hint="eastAsia" w:ascii="宋体" w:hAnsi="宋体" w:cs="宋体"/>
                <w:szCs w:val="21"/>
              </w:rPr>
            </w:pPr>
            <w:r>
              <w:rPr>
                <w:rFonts w:hint="eastAsia" w:ascii="宋体" w:hAnsi="宋体" w:cs="宋体"/>
                <w:szCs w:val="21"/>
              </w:rPr>
              <w:t>人员</w:t>
            </w:r>
          </w:p>
          <w:p>
            <w:pPr>
              <w:jc w:val="center"/>
              <w:rPr>
                <w:rFonts w:hint="eastAsia" w:ascii="宋体" w:hAnsi="宋体" w:cs="宋体"/>
                <w:szCs w:val="21"/>
              </w:rPr>
            </w:pPr>
            <w:r>
              <w:rPr>
                <w:rFonts w:hint="eastAsia" w:ascii="宋体" w:hAnsi="宋体" w:cs="宋体"/>
                <w:szCs w:val="21"/>
              </w:rPr>
              <w:t>（15分）</w:t>
            </w:r>
          </w:p>
        </w:tc>
        <w:tc>
          <w:tcPr>
            <w:tcW w:w="2067" w:type="dxa"/>
            <w:gridSpan w:val="2"/>
            <w:noWrap w:val="0"/>
            <w:vAlign w:val="center"/>
          </w:tcPr>
          <w:p>
            <w:pPr>
              <w:snapToGrid w:val="0"/>
              <w:jc w:val="center"/>
              <w:rPr>
                <w:rFonts w:hint="eastAsia" w:ascii="宋体" w:hAnsi="宋体" w:cs="宋体"/>
              </w:rPr>
            </w:pPr>
            <w:r>
              <w:rPr>
                <w:rFonts w:hint="eastAsia" w:ascii="宋体" w:hAnsi="宋体" w:cs="宋体"/>
              </w:rPr>
              <w:t>项目负责人</w:t>
            </w:r>
          </w:p>
          <w:p>
            <w:pPr>
              <w:snapToGrid w:val="0"/>
              <w:jc w:val="center"/>
              <w:rPr>
                <w:rFonts w:hint="eastAsia" w:ascii="宋体" w:hAnsi="宋体" w:cs="宋体"/>
              </w:rPr>
            </w:pPr>
            <w:r>
              <w:rPr>
                <w:rFonts w:hint="eastAsia" w:ascii="宋体" w:hAnsi="宋体" w:cs="宋体"/>
              </w:rPr>
              <w:t>（6分）</w:t>
            </w:r>
          </w:p>
        </w:tc>
        <w:tc>
          <w:tcPr>
            <w:tcW w:w="4826" w:type="dxa"/>
            <w:noWrap w:val="0"/>
            <w:vAlign w:val="center"/>
          </w:tcPr>
          <w:p>
            <w:pPr>
              <w:snapToGrid w:val="0"/>
              <w:jc w:val="left"/>
              <w:rPr>
                <w:rFonts w:hint="eastAsia" w:ascii="宋体" w:hAnsi="宋体" w:cs="宋体"/>
              </w:rPr>
            </w:pPr>
            <w:r>
              <w:rPr>
                <w:rFonts w:hint="eastAsia" w:ascii="宋体" w:hAnsi="宋体" w:cs="宋体"/>
              </w:rPr>
              <w:t xml:space="preserve">a.满足资格审查强制性资格条件要求的，得 1 分； </w:t>
            </w:r>
          </w:p>
          <w:p>
            <w:pPr>
              <w:snapToGrid w:val="0"/>
              <w:jc w:val="left"/>
              <w:rPr>
                <w:rFonts w:hint="eastAsia" w:ascii="宋体" w:hAnsi="宋体" w:cs="宋体"/>
              </w:rPr>
            </w:pPr>
            <w:r>
              <w:rPr>
                <w:rFonts w:hint="eastAsia" w:ascii="宋体" w:hAnsi="宋体" w:cs="宋体"/>
              </w:rPr>
              <w:t xml:space="preserve">b.正高级职称及以上的加 2 分； </w:t>
            </w:r>
          </w:p>
          <w:p>
            <w:pPr>
              <w:snapToGrid w:val="0"/>
              <w:jc w:val="left"/>
              <w:rPr>
                <w:rFonts w:hint="eastAsia" w:ascii="宋体" w:hAnsi="宋体" w:cs="宋体"/>
              </w:rPr>
            </w:pPr>
            <w:r>
              <w:rPr>
                <w:rFonts w:hint="eastAsia" w:ascii="宋体" w:hAnsi="宋体" w:cs="宋体"/>
              </w:rPr>
              <w:t>c.近五年（2019 年 1 月 1 日至投标截止日）担任过公路工程试验检测项目的项目负责人</w:t>
            </w:r>
            <w:r>
              <w:t>或技术负责人</w:t>
            </w:r>
            <w:r>
              <w:rPr>
                <w:rFonts w:hint="eastAsia" w:ascii="宋体" w:hAnsi="宋体" w:cs="宋体"/>
              </w:rPr>
              <w:t xml:space="preserve">，每有一个业绩加 1.5 分，最多加 3 分。 </w:t>
            </w:r>
          </w:p>
          <w:p>
            <w:pPr>
              <w:snapToGrid w:val="0"/>
              <w:jc w:val="left"/>
              <w:rPr>
                <w:rFonts w:hint="eastAsia" w:ascii="宋体" w:hAnsi="宋体" w:cs="宋体"/>
              </w:rPr>
            </w:pPr>
            <w:r>
              <w:rPr>
                <w:rFonts w:hint="eastAsia" w:ascii="宋体" w:hAnsi="宋体" w:cs="宋体"/>
              </w:rPr>
              <w:t>（提供证书扫描件及公路水运工程试验检测管理信息系统网站截图、合同协议书或中标通知书复印件</w:t>
            </w:r>
            <w:r>
              <w:t>或业主证明</w:t>
            </w:r>
            <w:r>
              <w:rPr>
                <w:rFonts w:hint="eastAsia"/>
              </w:rPr>
              <w:t>材料</w:t>
            </w:r>
            <w:r>
              <w:rPr>
                <w:rFonts w:hint="eastAsia" w:ascii="宋体" w:hAnsi="宋体" w:cs="宋体"/>
              </w:rPr>
              <w:t>或由市级及以上交通工程质量监督机构出具的相关证明（能体现项目负责人名称））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24" w:type="dxa"/>
            <w:gridSpan w:val="2"/>
            <w:vMerge w:val="continue"/>
            <w:noWrap w:val="0"/>
            <w:vAlign w:val="center"/>
          </w:tcPr>
          <w:p>
            <w:pPr>
              <w:jc w:val="center"/>
              <w:rPr>
                <w:rFonts w:hint="eastAsia" w:ascii="宋体" w:hAnsi="宋体" w:cs="宋体"/>
              </w:rPr>
            </w:pPr>
          </w:p>
        </w:tc>
        <w:tc>
          <w:tcPr>
            <w:tcW w:w="1475" w:type="dxa"/>
            <w:gridSpan w:val="2"/>
            <w:vMerge w:val="continue"/>
            <w:noWrap w:val="0"/>
            <w:vAlign w:val="center"/>
          </w:tcPr>
          <w:p>
            <w:pPr>
              <w:jc w:val="center"/>
              <w:rPr>
                <w:rFonts w:hint="eastAsia" w:ascii="宋体" w:hAnsi="宋体" w:cs="宋体"/>
                <w:szCs w:val="21"/>
              </w:rPr>
            </w:pPr>
          </w:p>
        </w:tc>
        <w:tc>
          <w:tcPr>
            <w:tcW w:w="2067" w:type="dxa"/>
            <w:gridSpan w:val="2"/>
            <w:noWrap w:val="0"/>
            <w:vAlign w:val="center"/>
          </w:tcPr>
          <w:p>
            <w:pPr>
              <w:widowControl/>
              <w:jc w:val="center"/>
            </w:pPr>
            <w:r>
              <w:rPr>
                <w:rFonts w:hint="eastAsia" w:ascii="宋体" w:hAnsi="宋体" w:cs="宋体"/>
                <w:color w:val="000000"/>
                <w:kern w:val="0"/>
                <w:szCs w:val="21"/>
                <w:lang w:bidi="ar"/>
              </w:rPr>
              <w:t>技术负责人</w:t>
            </w:r>
          </w:p>
          <w:p>
            <w:pPr>
              <w:snapToGrid w:val="0"/>
              <w:jc w:val="center"/>
              <w:rPr>
                <w:rFonts w:hint="eastAsia" w:ascii="宋体" w:hAnsi="宋体" w:cs="宋体"/>
              </w:rPr>
            </w:pPr>
            <w:r>
              <w:rPr>
                <w:rFonts w:hint="eastAsia" w:ascii="宋体" w:hAnsi="宋体" w:cs="宋体"/>
              </w:rPr>
              <w:t>（5分）</w:t>
            </w:r>
          </w:p>
          <w:p>
            <w:pPr>
              <w:snapToGrid w:val="0"/>
              <w:jc w:val="center"/>
              <w:rPr>
                <w:rFonts w:hint="eastAsia" w:ascii="宋体" w:hAnsi="宋体" w:cs="宋体"/>
              </w:rPr>
            </w:pPr>
          </w:p>
        </w:tc>
        <w:tc>
          <w:tcPr>
            <w:tcW w:w="4826" w:type="dxa"/>
            <w:noWrap w:val="0"/>
            <w:vAlign w:val="center"/>
          </w:tcPr>
          <w:p>
            <w:pPr>
              <w:snapToGrid w:val="0"/>
              <w:jc w:val="left"/>
              <w:rPr>
                <w:rFonts w:hint="eastAsia" w:ascii="宋体" w:hAnsi="宋体" w:cs="宋体"/>
              </w:rPr>
            </w:pPr>
            <w:r>
              <w:rPr>
                <w:rFonts w:hint="eastAsia" w:ascii="宋体" w:hAnsi="宋体" w:cs="宋体"/>
              </w:rPr>
              <w:t xml:space="preserve">a.满足资格审查强制性资格条件要求的，得1分； </w:t>
            </w:r>
          </w:p>
          <w:p>
            <w:pPr>
              <w:snapToGrid w:val="0"/>
              <w:jc w:val="left"/>
              <w:rPr>
                <w:rFonts w:hint="eastAsia" w:ascii="宋体" w:hAnsi="宋体" w:cs="宋体"/>
              </w:rPr>
            </w:pPr>
            <w:r>
              <w:rPr>
                <w:rFonts w:hint="eastAsia" w:ascii="宋体" w:hAnsi="宋体" w:cs="宋体"/>
              </w:rPr>
              <w:t>b.高级职称及以上得加2分</w:t>
            </w:r>
            <w:r>
              <w:rPr>
                <w:rFonts w:hint="eastAsia" w:ascii="宋体" w:hAnsi="宋体" w:cs="宋体"/>
                <w:lang w:eastAsia="zh-CN"/>
              </w:rPr>
              <w:t>；</w:t>
            </w:r>
            <w:r>
              <w:rPr>
                <w:rFonts w:hint="eastAsia" w:ascii="宋体" w:hAnsi="宋体" w:cs="宋体"/>
              </w:rPr>
              <w:t xml:space="preserve"> </w:t>
            </w:r>
          </w:p>
          <w:p>
            <w:pPr>
              <w:snapToGrid w:val="0"/>
              <w:jc w:val="left"/>
              <w:rPr>
                <w:rFonts w:hint="eastAsia" w:ascii="宋体" w:hAnsi="宋体" w:cs="宋体"/>
              </w:rPr>
            </w:pPr>
            <w:r>
              <w:rPr>
                <w:rFonts w:hint="eastAsia" w:ascii="宋体" w:hAnsi="宋体" w:cs="宋体"/>
              </w:rPr>
              <w:t xml:space="preserve">c.近五年（2019 年 1 月 1 日至投标截止日）担任过类似公路工程质量试验检测项目的项目负责人或技术负责人，在满足a条件的基础上每增加一个业绩加1分，最多得2分。 </w:t>
            </w:r>
          </w:p>
          <w:p>
            <w:pPr>
              <w:snapToGrid w:val="0"/>
              <w:jc w:val="left"/>
              <w:rPr>
                <w:rFonts w:hint="eastAsia" w:ascii="宋体" w:hAnsi="宋体" w:cs="宋体"/>
              </w:rPr>
            </w:pPr>
            <w:r>
              <w:rPr>
                <w:rFonts w:hint="eastAsia" w:ascii="宋体" w:hAnsi="宋体" w:cs="宋体"/>
              </w:rPr>
              <w:t>（提供证书扫描件及公路水运工程试验检测管理信息系统网站截图、合同协议书复印件或中标通知书</w:t>
            </w:r>
            <w:r>
              <w:t>或业主证明</w:t>
            </w:r>
            <w:r>
              <w:rPr>
                <w:rFonts w:hint="eastAsia"/>
              </w:rPr>
              <w:t>材料</w:t>
            </w:r>
            <w:r>
              <w:rPr>
                <w:rFonts w:hint="eastAsia" w:ascii="宋体" w:hAnsi="宋体" w:cs="宋体"/>
              </w:rPr>
              <w:t>或由由市级及以上交通工程质量监督机构出具的相关证明（能体现技术负责人名称））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24" w:type="dxa"/>
            <w:gridSpan w:val="2"/>
            <w:vMerge w:val="continue"/>
            <w:noWrap w:val="0"/>
            <w:vAlign w:val="center"/>
          </w:tcPr>
          <w:p>
            <w:pPr>
              <w:jc w:val="center"/>
              <w:rPr>
                <w:rFonts w:hint="eastAsia" w:ascii="宋体" w:hAnsi="宋体" w:cs="宋体"/>
              </w:rPr>
            </w:pPr>
          </w:p>
        </w:tc>
        <w:tc>
          <w:tcPr>
            <w:tcW w:w="1475" w:type="dxa"/>
            <w:gridSpan w:val="2"/>
            <w:vMerge w:val="continue"/>
            <w:noWrap w:val="0"/>
            <w:vAlign w:val="center"/>
          </w:tcPr>
          <w:p>
            <w:pPr>
              <w:jc w:val="center"/>
              <w:rPr>
                <w:rFonts w:hint="eastAsia" w:ascii="宋体" w:hAnsi="宋体" w:cs="宋体"/>
                <w:szCs w:val="21"/>
              </w:rPr>
            </w:pPr>
          </w:p>
        </w:tc>
        <w:tc>
          <w:tcPr>
            <w:tcW w:w="2067" w:type="dxa"/>
            <w:gridSpan w:val="2"/>
            <w:noWrap w:val="0"/>
            <w:vAlign w:val="center"/>
          </w:tcPr>
          <w:p>
            <w:pPr>
              <w:snapToGrid w:val="0"/>
              <w:jc w:val="center"/>
              <w:rPr>
                <w:rFonts w:hint="eastAsia" w:ascii="宋体" w:hAnsi="宋体" w:cs="宋体"/>
              </w:rPr>
            </w:pPr>
            <w:r>
              <w:rPr>
                <w:rFonts w:hint="eastAsia" w:ascii="宋体" w:hAnsi="宋体" w:cs="宋体"/>
              </w:rPr>
              <w:t>试验员</w:t>
            </w:r>
          </w:p>
          <w:p>
            <w:pPr>
              <w:snapToGrid w:val="0"/>
              <w:jc w:val="center"/>
              <w:rPr>
                <w:rFonts w:hint="eastAsia" w:ascii="宋体" w:hAnsi="宋体" w:cs="宋体"/>
              </w:rPr>
            </w:pPr>
            <w:r>
              <w:rPr>
                <w:rFonts w:hint="eastAsia" w:ascii="宋体" w:hAnsi="宋体" w:cs="宋体"/>
              </w:rPr>
              <w:t>（4分）</w:t>
            </w:r>
          </w:p>
        </w:tc>
        <w:tc>
          <w:tcPr>
            <w:tcW w:w="4826" w:type="dxa"/>
            <w:noWrap w:val="0"/>
            <w:vAlign w:val="center"/>
          </w:tcPr>
          <w:p>
            <w:pPr>
              <w:snapToGrid w:val="0"/>
              <w:jc w:val="left"/>
              <w:rPr>
                <w:rFonts w:hint="eastAsia" w:ascii="宋体" w:hAnsi="宋体" w:cs="宋体"/>
              </w:rPr>
            </w:pPr>
            <w:r>
              <w:rPr>
                <w:rFonts w:hint="eastAsia" w:ascii="宋体" w:hAnsi="宋体" w:cs="宋体"/>
              </w:rPr>
              <w:t xml:space="preserve">a.满足资格审查强制性资格条件要求的得2分，在强制性资格条件基础上每增加1个试验员的加 1分，满分2分。（提供证书扫描件及公路水运工程试验检测管理信息系统网站截图）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824" w:type="dxa"/>
            <w:gridSpan w:val="2"/>
            <w:vMerge w:val="restart"/>
            <w:noWrap w:val="0"/>
            <w:vAlign w:val="center"/>
          </w:tcPr>
          <w:p>
            <w:pPr>
              <w:jc w:val="center"/>
              <w:rPr>
                <w:rFonts w:hint="eastAsia" w:ascii="宋体" w:hAnsi="宋体" w:cs="宋体"/>
                <w:szCs w:val="21"/>
              </w:rPr>
            </w:pPr>
            <w:r>
              <w:rPr>
                <w:rFonts w:hint="eastAsia" w:ascii="宋体" w:hAnsi="宋体" w:cs="宋体"/>
                <w:szCs w:val="21"/>
              </w:rPr>
              <w:t>2.2.4（4）</w:t>
            </w:r>
          </w:p>
          <w:p>
            <w:pPr>
              <w:jc w:val="center"/>
              <w:rPr>
                <w:rFonts w:ascii="宋体" w:hAnsi="宋体" w:cs="宋体"/>
                <w:szCs w:val="21"/>
              </w:rPr>
            </w:pPr>
          </w:p>
        </w:tc>
        <w:tc>
          <w:tcPr>
            <w:tcW w:w="1475" w:type="dxa"/>
            <w:gridSpan w:val="2"/>
            <w:noWrap w:val="0"/>
            <w:vAlign w:val="center"/>
          </w:tcPr>
          <w:p>
            <w:pPr>
              <w:jc w:val="center"/>
              <w:rPr>
                <w:rFonts w:hint="eastAsia" w:ascii="宋体" w:hAnsi="宋体" w:cs="宋体"/>
                <w:szCs w:val="21"/>
              </w:rPr>
            </w:pPr>
            <w:r>
              <w:rPr>
                <w:rFonts w:hint="eastAsia" w:ascii="宋体" w:hAnsi="宋体" w:cs="宋体"/>
                <w:szCs w:val="21"/>
              </w:rPr>
              <w:t xml:space="preserve">企业业绩 </w:t>
            </w:r>
          </w:p>
          <w:p>
            <w:pPr>
              <w:jc w:val="center"/>
              <w:rPr>
                <w:rFonts w:hint="eastAsia" w:ascii="宋体" w:hAnsi="宋体" w:cs="宋体"/>
                <w:szCs w:val="21"/>
              </w:rPr>
            </w:pPr>
            <w:r>
              <w:rPr>
                <w:rFonts w:hint="eastAsia" w:ascii="宋体" w:hAnsi="宋体" w:cs="宋体"/>
                <w:szCs w:val="21"/>
              </w:rPr>
              <w:t xml:space="preserve">（25分） </w:t>
            </w:r>
          </w:p>
        </w:tc>
        <w:tc>
          <w:tcPr>
            <w:tcW w:w="6893" w:type="dxa"/>
            <w:gridSpan w:val="3"/>
            <w:noWrap w:val="0"/>
            <w:vAlign w:val="center"/>
          </w:tcPr>
          <w:p>
            <w:pPr>
              <w:widowControl/>
              <w:jc w:val="left"/>
            </w:pPr>
            <w:r>
              <w:rPr>
                <w:rFonts w:hint="eastAsia" w:ascii="宋体" w:hAnsi="宋体" w:cs="宋体"/>
                <w:color w:val="000000"/>
                <w:kern w:val="0"/>
                <w:szCs w:val="21"/>
                <w:lang w:bidi="ar"/>
              </w:rPr>
              <w:t xml:space="preserve">a.满足资格审查强制性资格要求的，得15分； </w:t>
            </w:r>
          </w:p>
          <w:p>
            <w:pPr>
              <w:widowControl/>
              <w:jc w:val="left"/>
              <w:rPr>
                <w:rFonts w:hint="eastAsia" w:ascii="宋体" w:hAnsi="宋体" w:cs="宋体"/>
              </w:rPr>
            </w:pPr>
            <w:r>
              <w:rPr>
                <w:rFonts w:hint="eastAsia" w:ascii="宋体" w:hAnsi="宋体" w:cs="宋体"/>
                <w:color w:val="000000"/>
                <w:kern w:val="0"/>
                <w:szCs w:val="21"/>
                <w:lang w:bidi="ar"/>
              </w:rPr>
              <w:t>b.在满足资格审查强制性资格要求的基础上，近5年内（2019 年1月1日至投标截止日），承担公路工程试验检测项目（受业主或质量监督部门委托对工程进行检测的项目）业绩且合同额（或合同估算额）不小于50 万元，每增加1个业绩加2.5分，最多得10分。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824" w:type="dxa"/>
            <w:gridSpan w:val="2"/>
            <w:vMerge w:val="continue"/>
            <w:noWrap w:val="0"/>
            <w:vAlign w:val="center"/>
          </w:tcPr>
          <w:p>
            <w:pPr>
              <w:jc w:val="center"/>
              <w:rPr>
                <w:rFonts w:ascii="宋体" w:hAnsi="宋体" w:cs="宋体"/>
                <w:szCs w:val="21"/>
              </w:rPr>
            </w:pPr>
          </w:p>
        </w:tc>
        <w:tc>
          <w:tcPr>
            <w:tcW w:w="1475" w:type="dxa"/>
            <w:gridSpan w:val="2"/>
            <w:noWrap w:val="0"/>
            <w:vAlign w:val="center"/>
          </w:tcPr>
          <w:p>
            <w:pPr>
              <w:widowControl/>
              <w:jc w:val="center"/>
              <w:rPr>
                <w:rFonts w:hint="eastAsia" w:ascii="宋体" w:hAnsi="宋体" w:cs="宋体"/>
                <w:color w:val="000000"/>
                <w:kern w:val="0"/>
                <w:szCs w:val="21"/>
                <w:lang w:bidi="ar"/>
              </w:rPr>
            </w:pPr>
            <w:r>
              <w:rPr>
                <w:rFonts w:hint="eastAsia" w:ascii="宋体" w:hAnsi="宋体" w:cs="宋体"/>
                <w:color w:val="000000"/>
                <w:kern w:val="0"/>
                <w:szCs w:val="21"/>
                <w:lang w:bidi="ar"/>
              </w:rPr>
              <w:t>技术能力</w:t>
            </w:r>
          </w:p>
          <w:p>
            <w:pPr>
              <w:pStyle w:val="2"/>
              <w:ind w:firstLine="0"/>
              <w:jc w:val="center"/>
              <w:rPr>
                <w:lang w:val="en-US" w:eastAsia="zh-CN"/>
              </w:rPr>
            </w:pPr>
            <w:r>
              <w:rPr>
                <w:rFonts w:hint="eastAsia" w:ascii="宋体" w:hAnsi="宋体" w:cs="宋体"/>
                <w:color w:val="000000"/>
                <w:kern w:val="0"/>
                <w:szCs w:val="21"/>
                <w:lang w:val="en-US" w:eastAsia="zh-CN" w:bidi="ar"/>
              </w:rPr>
              <w:t>（10分）</w:t>
            </w:r>
          </w:p>
          <w:p>
            <w:pPr>
              <w:jc w:val="center"/>
              <w:rPr>
                <w:rFonts w:hint="eastAsia" w:ascii="宋体" w:hAnsi="宋体" w:cs="宋体"/>
                <w:szCs w:val="21"/>
              </w:rPr>
            </w:pPr>
          </w:p>
        </w:tc>
        <w:tc>
          <w:tcPr>
            <w:tcW w:w="2011" w:type="dxa"/>
            <w:noWrap w:val="0"/>
            <w:vAlign w:val="center"/>
          </w:tcPr>
          <w:p>
            <w:pPr>
              <w:widowControl/>
              <w:jc w:val="center"/>
              <w:rPr>
                <w:rFonts w:hint="eastAsia" w:ascii="宋体" w:hAnsi="宋体" w:cs="宋体"/>
                <w:color w:val="000000"/>
                <w:kern w:val="0"/>
                <w:szCs w:val="21"/>
                <w:lang w:bidi="ar"/>
              </w:rPr>
            </w:pPr>
            <w:r>
              <w:rPr>
                <w:rFonts w:hint="eastAsia" w:ascii="宋体" w:hAnsi="宋体" w:cs="宋体"/>
                <w:color w:val="000000"/>
                <w:kern w:val="0"/>
                <w:szCs w:val="21"/>
                <w:lang w:bidi="ar"/>
              </w:rPr>
              <w:t>试验检测仪器、设备及检测能力</w:t>
            </w:r>
          </w:p>
          <w:p>
            <w:pPr>
              <w:widowControl/>
              <w:ind w:firstLine="448"/>
              <w:jc w:val="center"/>
              <w:rPr>
                <w:rFonts w:hint="eastAsia" w:ascii="宋体" w:hAnsi="宋体" w:cs="宋体"/>
                <w:color w:val="000000"/>
                <w:kern w:val="0"/>
                <w:szCs w:val="21"/>
                <w:lang w:bidi="ar"/>
              </w:rPr>
            </w:pPr>
            <w:r>
              <w:rPr>
                <w:rFonts w:hint="eastAsia" w:ascii="宋体" w:hAnsi="宋体" w:cs="宋体"/>
                <w:color w:val="000000"/>
                <w:kern w:val="0"/>
                <w:szCs w:val="21"/>
                <w:lang w:bidi="ar"/>
              </w:rPr>
              <w:t>（10 分）</w:t>
            </w:r>
          </w:p>
        </w:tc>
        <w:tc>
          <w:tcPr>
            <w:tcW w:w="4882" w:type="dxa"/>
            <w:gridSpan w:val="2"/>
            <w:noWrap w:val="0"/>
            <w:vAlign w:val="center"/>
          </w:tcPr>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a.满足资格审查强制性资格要求的，得6分； </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b.投入本项目的地质雷达、落锤弯沉仪等仪器设备的，每台加2分，最多4分。（提供发票扫描件）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824" w:type="dxa"/>
            <w:gridSpan w:val="2"/>
            <w:vMerge w:val="continue"/>
            <w:noWrap w:val="0"/>
            <w:vAlign w:val="center"/>
          </w:tcPr>
          <w:p>
            <w:pPr>
              <w:jc w:val="center"/>
              <w:rPr>
                <w:rFonts w:hint="eastAsia" w:ascii="宋体" w:hAnsi="宋体" w:cs="宋体"/>
                <w:szCs w:val="21"/>
              </w:rPr>
            </w:pPr>
          </w:p>
        </w:tc>
        <w:tc>
          <w:tcPr>
            <w:tcW w:w="1475" w:type="dxa"/>
            <w:gridSpan w:val="2"/>
            <w:noWrap w:val="0"/>
            <w:vAlign w:val="center"/>
          </w:tcPr>
          <w:p>
            <w:pPr>
              <w:jc w:val="center"/>
              <w:rPr>
                <w:rFonts w:hint="eastAsia" w:ascii="宋体" w:hAnsi="宋体" w:cs="宋体"/>
                <w:szCs w:val="21"/>
              </w:rPr>
            </w:pPr>
            <w:r>
              <w:rPr>
                <w:rFonts w:hint="eastAsia" w:ascii="宋体" w:hAnsi="宋体" w:cs="宋体"/>
                <w:szCs w:val="21"/>
              </w:rPr>
              <w:t xml:space="preserve">履约 </w:t>
            </w:r>
          </w:p>
          <w:p>
            <w:pPr>
              <w:jc w:val="center"/>
              <w:rPr>
                <w:rFonts w:hint="eastAsia" w:ascii="宋体" w:hAnsi="宋体" w:cs="宋体"/>
                <w:szCs w:val="21"/>
              </w:rPr>
            </w:pPr>
            <w:r>
              <w:rPr>
                <w:rFonts w:hint="eastAsia" w:ascii="宋体" w:hAnsi="宋体" w:cs="宋体"/>
                <w:szCs w:val="21"/>
              </w:rPr>
              <w:t>信誉</w:t>
            </w:r>
          </w:p>
          <w:p>
            <w:pPr>
              <w:jc w:val="center"/>
              <w:rPr>
                <w:rFonts w:hint="eastAsia" w:ascii="宋体" w:hAnsi="宋体" w:cs="宋体"/>
                <w:szCs w:val="21"/>
              </w:rPr>
            </w:pPr>
            <w:r>
              <w:rPr>
                <w:rFonts w:hint="eastAsia" w:ascii="宋体" w:hAnsi="宋体" w:cs="宋体"/>
                <w:szCs w:val="21"/>
              </w:rPr>
              <w:t>（10分）</w:t>
            </w:r>
          </w:p>
        </w:tc>
        <w:tc>
          <w:tcPr>
            <w:tcW w:w="2011" w:type="dxa"/>
            <w:noWrap w:val="0"/>
            <w:vAlign w:val="center"/>
          </w:tcPr>
          <w:p>
            <w:pPr>
              <w:widowControl/>
              <w:ind w:firstLine="448"/>
              <w:jc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信用等级 </w:t>
            </w:r>
          </w:p>
          <w:p>
            <w:pPr>
              <w:widowControl/>
              <w:ind w:firstLine="448"/>
              <w:jc w:val="center"/>
              <w:rPr>
                <w:rFonts w:hint="eastAsia" w:ascii="宋体" w:hAnsi="宋体" w:cs="宋体"/>
                <w:color w:val="000000"/>
                <w:kern w:val="0"/>
                <w:szCs w:val="21"/>
                <w:lang w:bidi="ar"/>
              </w:rPr>
            </w:pPr>
            <w:r>
              <w:rPr>
                <w:rFonts w:hint="eastAsia" w:ascii="宋体" w:hAnsi="宋体" w:cs="宋体"/>
                <w:color w:val="000000"/>
                <w:kern w:val="0"/>
                <w:szCs w:val="21"/>
                <w:lang w:bidi="ar"/>
              </w:rPr>
              <w:t>（10 分）</w:t>
            </w:r>
          </w:p>
        </w:tc>
        <w:tc>
          <w:tcPr>
            <w:tcW w:w="4882" w:type="dxa"/>
            <w:gridSpan w:val="2"/>
            <w:noWrap w:val="0"/>
            <w:vAlign w:val="center"/>
          </w:tcPr>
          <w:p>
            <w:pPr>
              <w:widowControl/>
              <w:jc w:val="left"/>
            </w:pPr>
            <w:r>
              <w:rPr>
                <w:rFonts w:hint="eastAsia" w:ascii="宋体" w:hAnsi="宋体" w:cs="宋体"/>
                <w:color w:val="000000"/>
                <w:kern w:val="0"/>
                <w:szCs w:val="21"/>
                <w:lang w:bidi="ar"/>
              </w:rPr>
              <w:t xml:space="preserve">上两年度信用等级均为 AA 级的得 10 分； </w:t>
            </w:r>
          </w:p>
          <w:p>
            <w:pPr>
              <w:widowControl/>
              <w:jc w:val="left"/>
            </w:pPr>
            <w:r>
              <w:rPr>
                <w:rFonts w:hint="eastAsia" w:ascii="宋体" w:hAnsi="宋体" w:cs="宋体"/>
                <w:color w:val="000000"/>
                <w:kern w:val="0"/>
                <w:szCs w:val="21"/>
                <w:lang w:bidi="ar"/>
              </w:rPr>
              <w:t xml:space="preserve">上一年度信用等级为 AA 级的得 9 分； </w:t>
            </w:r>
          </w:p>
          <w:p>
            <w:pPr>
              <w:widowControl/>
              <w:jc w:val="left"/>
            </w:pPr>
            <w:r>
              <w:rPr>
                <w:rFonts w:hint="eastAsia" w:ascii="宋体" w:hAnsi="宋体" w:cs="宋体"/>
                <w:color w:val="000000"/>
                <w:kern w:val="0"/>
                <w:szCs w:val="21"/>
                <w:lang w:bidi="ar"/>
              </w:rPr>
              <w:t xml:space="preserve">上一年度信用等级为 A 级的得 8 分； </w:t>
            </w:r>
          </w:p>
          <w:p>
            <w:pPr>
              <w:widowControl/>
              <w:jc w:val="left"/>
            </w:pPr>
            <w:r>
              <w:rPr>
                <w:rFonts w:hint="eastAsia" w:ascii="宋体" w:hAnsi="宋体" w:cs="宋体"/>
                <w:color w:val="000000"/>
                <w:kern w:val="0"/>
                <w:szCs w:val="21"/>
                <w:lang w:bidi="ar"/>
              </w:rPr>
              <w:t xml:space="preserve">上一年度信用等级为 B 级的得 5 分； </w:t>
            </w:r>
          </w:p>
          <w:p>
            <w:pPr>
              <w:widowControl/>
              <w:jc w:val="left"/>
            </w:pPr>
            <w:r>
              <w:rPr>
                <w:rFonts w:hint="eastAsia" w:ascii="宋体" w:hAnsi="宋体" w:cs="宋体"/>
                <w:color w:val="000000"/>
                <w:kern w:val="0"/>
                <w:szCs w:val="21"/>
                <w:lang w:bidi="ar"/>
              </w:rPr>
              <w:t xml:space="preserve">上一年度信用等级为 C 级的得 2 分； </w:t>
            </w:r>
          </w:p>
          <w:p>
            <w:pPr>
              <w:widowControl/>
              <w:jc w:val="left"/>
            </w:pPr>
            <w:r>
              <w:rPr>
                <w:rFonts w:hint="eastAsia" w:ascii="宋体" w:hAnsi="宋体" w:cs="宋体"/>
                <w:color w:val="000000"/>
                <w:kern w:val="0"/>
                <w:szCs w:val="21"/>
                <w:lang w:bidi="ar"/>
              </w:rPr>
              <w:t xml:space="preserve">上一年度信用等级为 D 级的得 0 分。 </w:t>
            </w:r>
          </w:p>
          <w:p>
            <w:pPr>
              <w:widowControl/>
              <w:jc w:val="left"/>
            </w:pPr>
            <w:r>
              <w:rPr>
                <w:rFonts w:hint="eastAsia" w:ascii="宋体" w:hAnsi="宋体" w:cs="宋体"/>
                <w:color w:val="000000"/>
                <w:kern w:val="0"/>
                <w:szCs w:val="21"/>
                <w:lang w:bidi="ar"/>
              </w:rPr>
              <w:t xml:space="preserve">注：（1）信用评价结果：以投标截止时间前，交通运输主管部门最新发布的结果公告（非结果公示）为准。 </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（2）具有辽宁省公路水运工程试验检测机构信用评价等级时，投标按其认定；不具备时，投标信用评价等级按照在交通运输部“公路水运工程质量试验检测管理信息系统”中信用评价等级认定。</w:t>
            </w:r>
          </w:p>
          <w:p>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（3）投标人须提供相关证明材料，不提供不得分。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gridSpan w:val="2"/>
            <w:noWrap w:val="0"/>
            <w:vAlign w:val="center"/>
          </w:tcPr>
          <w:p>
            <w:pPr>
              <w:spacing w:line="380" w:lineRule="atLeast"/>
              <w:jc w:val="center"/>
              <w:rPr>
                <w:rFonts w:hint="eastAsia" w:ascii="宋体" w:hAnsi="宋体" w:cs="宋体"/>
                <w:sz w:val="24"/>
              </w:rPr>
            </w:pPr>
            <w:r>
              <w:rPr>
                <w:rFonts w:hint="eastAsia" w:ascii="宋体" w:hAnsi="宋体" w:cs="宋体"/>
                <w:sz w:val="24"/>
              </w:rPr>
              <w:t>2.2.4（3）</w:t>
            </w:r>
          </w:p>
        </w:tc>
        <w:tc>
          <w:tcPr>
            <w:tcW w:w="565" w:type="dxa"/>
            <w:noWrap w:val="0"/>
            <w:vAlign w:val="center"/>
          </w:tcPr>
          <w:p>
            <w:pPr>
              <w:rPr>
                <w:rFonts w:hint="eastAsia" w:ascii="宋体" w:hAnsi="宋体" w:cs="宋体"/>
                <w:szCs w:val="21"/>
              </w:rPr>
            </w:pPr>
            <w:r>
              <w:rPr>
                <w:rFonts w:hint="eastAsia" w:ascii="宋体" w:hAnsi="宋体" w:cs="宋体"/>
                <w:szCs w:val="21"/>
              </w:rPr>
              <w:t>投标报价</w:t>
            </w:r>
          </w:p>
        </w:tc>
        <w:tc>
          <w:tcPr>
            <w:tcW w:w="910" w:type="dxa"/>
            <w:noWrap w:val="0"/>
            <w:vAlign w:val="center"/>
          </w:tcPr>
          <w:p>
            <w:pPr>
              <w:spacing w:line="380" w:lineRule="atLeast"/>
              <w:jc w:val="center"/>
              <w:rPr>
                <w:rFonts w:hint="eastAsia" w:ascii="宋体" w:hAnsi="宋体" w:cs="宋体"/>
                <w:sz w:val="24"/>
              </w:rPr>
            </w:pPr>
            <w:r>
              <w:rPr>
                <w:rFonts w:hint="eastAsia" w:ascii="宋体" w:hAnsi="宋体" w:cs="宋体"/>
                <w:szCs w:val="21"/>
              </w:rPr>
              <w:t>投标报价得分（10分）</w:t>
            </w:r>
          </w:p>
        </w:tc>
        <w:tc>
          <w:tcPr>
            <w:tcW w:w="6893" w:type="dxa"/>
            <w:gridSpan w:val="3"/>
            <w:noWrap w:val="0"/>
            <w:vAlign w:val="top"/>
          </w:tcPr>
          <w:p>
            <w:pPr>
              <w:rPr>
                <w:rFonts w:hint="eastAsia" w:ascii="宋体" w:hAnsi="宋体" w:cs="宋体"/>
                <w:szCs w:val="21"/>
              </w:rPr>
            </w:pPr>
            <w:r>
              <w:rPr>
                <w:rFonts w:hint="eastAsia" w:ascii="宋体" w:hAnsi="宋体" w:cs="宋体"/>
                <w:szCs w:val="21"/>
              </w:rPr>
              <w:t>评标价得分（10分）按照下面规定计算：</w:t>
            </w:r>
          </w:p>
          <w:p>
            <w:pPr>
              <w:rPr>
                <w:rFonts w:hint="eastAsia" w:ascii="宋体" w:hAnsi="宋体" w:cs="宋体"/>
                <w:szCs w:val="21"/>
              </w:rPr>
            </w:pPr>
            <w:r>
              <w:rPr>
                <w:rFonts w:hint="eastAsia" w:ascii="宋体" w:hAnsi="宋体" w:cs="宋体"/>
                <w:szCs w:val="21"/>
              </w:rPr>
              <w:t>当投标人的评标价等于D时得满分</w:t>
            </w:r>
            <w:r>
              <w:rPr>
                <w:rFonts w:hint="eastAsia" w:ascii="宋体" w:hAnsi="宋体" w:cs="宋体"/>
                <w:szCs w:val="21"/>
                <w:lang w:eastAsia="zh-TW"/>
              </w:rPr>
              <w:t>（10分），每</w:t>
            </w:r>
            <w:r>
              <w:rPr>
                <w:rFonts w:hint="eastAsia" w:ascii="宋体" w:hAnsi="宋体" w:cs="宋体"/>
                <w:szCs w:val="21"/>
              </w:rPr>
              <w:t>高于D一个百分点扣0.2分，每低于D一个百分点扣0.1分，中间值按比例内插。</w:t>
            </w:r>
          </w:p>
          <w:p>
            <w:pPr>
              <w:rPr>
                <w:rFonts w:hint="eastAsia" w:ascii="宋体" w:hAnsi="宋体" w:cs="宋体"/>
                <w:szCs w:val="21"/>
              </w:rPr>
            </w:pPr>
            <w:r>
              <w:rPr>
                <w:rFonts w:hint="eastAsia" w:ascii="宋体" w:hAnsi="宋体" w:cs="宋体"/>
                <w:szCs w:val="21"/>
              </w:rPr>
              <w:t>用公式表示如下：</w:t>
            </w:r>
          </w:p>
          <w:p>
            <w:pPr>
              <w:rPr>
                <w:rFonts w:hint="eastAsia" w:ascii="宋体" w:hAnsi="宋体" w:cs="宋体"/>
                <w:szCs w:val="21"/>
              </w:rPr>
            </w:pPr>
            <w:r>
              <w:rPr>
                <w:rFonts w:hint="eastAsia" w:ascii="宋体" w:hAnsi="宋体" w:cs="宋体"/>
                <w:szCs w:val="21"/>
              </w:rPr>
              <w:object>
                <v:shape id="_x0000_i1025" o:spt="75" type="#_x0000_t75" style="height:28.5pt;width:140.95pt;" o:ole="t" fillcolor="#6D6D6D" filled="f" o:preferrelative="t" stroked="f" coordsize="21600,21600">
                  <v:path/>
                  <v:fill on="f" focussize="0,0"/>
                  <v:stroke on="f"/>
                  <v:imagedata r:id="rId5" o:title=""/>
                  <o:lock v:ext="edit" aspectratio="t"/>
                  <w10:wrap type="none"/>
                  <w10:anchorlock/>
                </v:shape>
                <o:OLEObject Type="Embed" ProgID="Equation.3" ShapeID="_x0000_i1025" DrawAspect="Content" ObjectID="_1468075725" r:id="rId4">
                  <o:LockedField>false</o:LockedField>
                </o:OLEObject>
              </w:object>
            </w:r>
          </w:p>
          <w:p>
            <w:pPr>
              <w:rPr>
                <w:rFonts w:hint="eastAsia" w:ascii="宋体" w:hAnsi="宋体" w:cs="宋体"/>
                <w:szCs w:val="21"/>
              </w:rPr>
            </w:pPr>
            <w:r>
              <w:rPr>
                <w:rFonts w:hint="eastAsia" w:ascii="宋体" w:hAnsi="宋体" w:cs="宋体"/>
                <w:szCs w:val="21"/>
              </w:rPr>
              <w:t>式中：D＝评标基准价</w:t>
            </w:r>
          </w:p>
          <w:p>
            <w:pPr>
              <w:rPr>
                <w:rFonts w:hint="eastAsia" w:ascii="宋体" w:hAnsi="宋体" w:cs="宋体"/>
                <w:szCs w:val="21"/>
              </w:rPr>
            </w:pPr>
            <w:r>
              <w:rPr>
                <w:rFonts w:hint="eastAsia" w:ascii="宋体" w:hAnsi="宋体" w:cs="宋体"/>
                <w:szCs w:val="21"/>
              </w:rPr>
              <w:t>D1＝投标人的评标价</w:t>
            </w:r>
          </w:p>
          <w:p>
            <w:pPr>
              <w:rPr>
                <w:rFonts w:hint="eastAsia" w:ascii="宋体" w:hAnsi="宋体" w:cs="宋体"/>
                <w:szCs w:val="21"/>
              </w:rPr>
            </w:pPr>
            <w:r>
              <w:rPr>
                <w:rFonts w:hint="eastAsia" w:ascii="宋体" w:hAnsi="宋体" w:cs="宋体"/>
                <w:szCs w:val="21"/>
              </w:rPr>
              <w:t>F=10</w:t>
            </w:r>
          </w:p>
          <w:p>
            <w:pPr>
              <w:rPr>
                <w:rFonts w:hint="eastAsia" w:ascii="宋体" w:hAnsi="宋体" w:cs="宋体"/>
                <w:szCs w:val="21"/>
              </w:rPr>
            </w:pPr>
            <w:r>
              <w:rPr>
                <w:rFonts w:hint="eastAsia" w:ascii="宋体" w:hAnsi="宋体" w:cs="宋体"/>
                <w:szCs w:val="21"/>
              </w:rPr>
              <w:t>F1＝评标价得分</w:t>
            </w:r>
          </w:p>
          <w:p>
            <w:pPr>
              <w:rPr>
                <w:rFonts w:hint="eastAsia" w:ascii="宋体" w:hAnsi="宋体" w:cs="宋体"/>
                <w:szCs w:val="21"/>
              </w:rPr>
            </w:pPr>
            <w:r>
              <w:rPr>
                <w:rFonts w:hint="eastAsia" w:ascii="宋体" w:hAnsi="宋体" w:cs="宋体"/>
                <w:szCs w:val="21"/>
              </w:rPr>
              <w:t xml:space="preserve">若D1 </w:t>
            </w:r>
            <w:r>
              <w:rPr>
                <w:rFonts w:hint="eastAsia" w:ascii="宋体" w:hAnsi="宋体" w:cs="宋体"/>
                <w:szCs w:val="21"/>
              </w:rPr>
              <w:sym w:font="Symbol" w:char="F0B3"/>
            </w:r>
            <w:r>
              <w:rPr>
                <w:rFonts w:hint="eastAsia" w:ascii="宋体" w:hAnsi="宋体" w:cs="宋体"/>
                <w:szCs w:val="21"/>
              </w:rPr>
              <w:t xml:space="preserve"> D，则E=0.2；若D1 &lt; D，则E=0.1。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366" w:type="dxa"/>
            <w:gridSpan w:val="6"/>
            <w:noWrap w:val="0"/>
            <w:vAlign w:val="center"/>
          </w:tcPr>
          <w:p>
            <w:pPr>
              <w:jc w:val="center"/>
              <w:rPr>
                <w:rFonts w:hint="eastAsia" w:ascii="宋体" w:hAnsi="宋体" w:cs="宋体"/>
                <w:b/>
                <w:szCs w:val="21"/>
              </w:rPr>
            </w:pPr>
            <w:r>
              <w:rPr>
                <w:rFonts w:hint="eastAsia" w:ascii="宋体" w:hAnsi="宋体" w:cs="宋体"/>
                <w:b/>
                <w:szCs w:val="21"/>
              </w:rPr>
              <w:t>合  计</w:t>
            </w:r>
          </w:p>
        </w:tc>
        <w:tc>
          <w:tcPr>
            <w:tcW w:w="4826" w:type="dxa"/>
            <w:noWrap w:val="0"/>
            <w:vAlign w:val="center"/>
          </w:tcPr>
          <w:p>
            <w:pPr>
              <w:jc w:val="center"/>
              <w:rPr>
                <w:rFonts w:hint="eastAsia" w:ascii="宋体" w:hAnsi="宋体" w:cs="宋体"/>
                <w:b/>
                <w:szCs w:val="21"/>
              </w:rPr>
            </w:pPr>
            <w:r>
              <w:rPr>
                <w:rFonts w:hint="eastAsia" w:ascii="宋体" w:hAnsi="宋体" w:cs="宋体"/>
                <w:b/>
                <w:szCs w:val="21"/>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192" w:type="dxa"/>
            <w:gridSpan w:val="7"/>
            <w:noWrap w:val="0"/>
            <w:vAlign w:val="center"/>
          </w:tcPr>
          <w:p>
            <w:pPr>
              <w:jc w:val="center"/>
              <w:rPr>
                <w:rFonts w:hint="eastAsia" w:ascii="宋体" w:hAnsi="宋体" w:cs="宋体"/>
                <w:bCs/>
                <w:szCs w:val="21"/>
              </w:rPr>
            </w:pPr>
            <w:r>
              <w:rPr>
                <w:rFonts w:hint="eastAsia" w:ascii="宋体" w:hAnsi="宋体" w:cs="宋体"/>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9192" w:type="dxa"/>
            <w:gridSpan w:val="7"/>
            <w:noWrap w:val="0"/>
            <w:vAlign w:val="center"/>
          </w:tcPr>
          <w:p>
            <w:pPr>
              <w:ind w:firstLine="420" w:firstLineChars="200"/>
              <w:rPr>
                <w:rFonts w:hint="eastAsia" w:ascii="宋体" w:hAnsi="宋体" w:cs="宋体"/>
              </w:rPr>
            </w:pPr>
            <w:r>
              <w:rPr>
                <w:rFonts w:hint="eastAsia" w:ascii="宋体" w:hAnsi="宋体" w:cs="宋体"/>
              </w:rPr>
              <w:t>1、评标办法</w:t>
            </w:r>
          </w:p>
          <w:p>
            <w:pPr>
              <w:ind w:firstLine="420" w:firstLineChars="200"/>
              <w:rPr>
                <w:rFonts w:hint="eastAsia" w:ascii="宋体" w:hAnsi="宋体" w:cs="宋体"/>
              </w:rPr>
            </w:pPr>
            <w:r>
              <w:rPr>
                <w:rFonts w:hint="eastAsia" w:ascii="宋体" w:hAnsi="宋体" w:cs="宋体"/>
              </w:rPr>
              <w:t>本条细化为 ：</w:t>
            </w:r>
          </w:p>
          <w:p>
            <w:pPr>
              <w:spacing w:line="360" w:lineRule="auto"/>
              <w:ind w:firstLine="420" w:firstLineChars="200"/>
              <w:rPr>
                <w:rFonts w:hint="eastAsia" w:ascii="宋体" w:hAnsi="宋体" w:cs="宋体"/>
              </w:rPr>
            </w:pPr>
            <w:r>
              <w:rPr>
                <w:rFonts w:hint="eastAsia" w:ascii="宋体" w:hAnsi="宋体" w:cs="宋体"/>
              </w:rPr>
              <w:t>1.1评标委员会首先对投标文件第一个信封进行初步评审，并对通过第一个信封初步评审的投标文件按照本章第2.2款规定的评分标准进行第一个信封详细评审及评分 ：各评分因素（评标价和履约信誉评分项除外）得分一般不得低于其权重分值的 60%，且各评分因素得分应以评标委员会各成员的打分平均值确定，评标委员会成员总数为七人（含）以上时，该平均值以去掉一个最高分和一个最低分后计算 。评标委员会成员对某一项评分因素的评分低于权重分值60%的，应在评标报告中作出说明。</w:t>
            </w:r>
            <w:r>
              <w:rPr>
                <w:rFonts w:hint="eastAsia" w:ascii="宋体" w:hAnsi="宋体" w:cs="宋体"/>
                <w:szCs w:val="21"/>
              </w:rPr>
              <w:t>所有投标人的第二信封由招标人统一负责保存。</w:t>
            </w:r>
          </w:p>
          <w:p>
            <w:pPr>
              <w:spacing w:line="360" w:lineRule="auto"/>
              <w:ind w:firstLine="420" w:firstLineChars="200"/>
              <w:rPr>
                <w:rFonts w:hint="eastAsia" w:ascii="宋体" w:hAnsi="宋体" w:cs="宋体"/>
              </w:rPr>
            </w:pPr>
            <w:r>
              <w:rPr>
                <w:rFonts w:hint="eastAsia" w:ascii="宋体" w:hAnsi="宋体" w:cs="宋体"/>
              </w:rPr>
              <w:t>1.2 所有通过第一个信封初步评审的投标人进入第二个信封的评审，其第二个信封在监督人的监督下进行开标；未通过第一个信封初步评审的投标人不进入第二个信封的评审，其第二个信封原封退回，不参与第二个信封的开标。</w:t>
            </w:r>
          </w:p>
          <w:p>
            <w:pPr>
              <w:spacing w:line="360" w:lineRule="auto"/>
              <w:ind w:firstLine="420" w:firstLineChars="200"/>
              <w:rPr>
                <w:rFonts w:hint="eastAsia" w:ascii="宋体" w:hAnsi="宋体" w:cs="宋体"/>
                <w:szCs w:val="21"/>
              </w:rPr>
            </w:pPr>
            <w:r>
              <w:rPr>
                <w:rFonts w:hint="eastAsia" w:ascii="宋体" w:hAnsi="宋体" w:cs="宋体"/>
              </w:rPr>
              <w:t>1.3 评标委员会对投标文件第二个信封进行初步评审，对通过第二个信封初步评审的投标文件按照本章第 2.2 款规定的评分标准进行评标价评分（保留小数点后两位，小数点后第三位“四舍五入”），各投标人的最终得分为第一个信封与第二个信封得分之和，评标委员会按最终得分由高到低顺序确定中标候选人推荐</w:t>
            </w:r>
            <w:r>
              <w:rPr>
                <w:rFonts w:hint="eastAsia" w:ascii="宋体" w:hAnsi="宋体" w:cs="宋体"/>
                <w:szCs w:val="21"/>
              </w:rPr>
              <w:t>排序，但投标报价低于其成本的除外。</w:t>
            </w:r>
          </w:p>
          <w:p>
            <w:pPr>
              <w:spacing w:line="360" w:lineRule="auto"/>
              <w:ind w:firstLine="420" w:firstLineChars="200"/>
              <w:rPr>
                <w:rFonts w:hint="eastAsia" w:ascii="宋体" w:hAnsi="宋体" w:cs="宋体"/>
                <w:szCs w:val="21"/>
              </w:rPr>
            </w:pPr>
            <w:r>
              <w:rPr>
                <w:rFonts w:hint="eastAsia" w:ascii="宋体" w:hAnsi="宋体" w:cs="宋体"/>
                <w:szCs w:val="21"/>
              </w:rPr>
              <w:t xml:space="preserve">1.4当两家及以上投标人的综合得分相等时，评标委员会依次按照以下优先顺序推荐中标候选人或确定中标人： </w:t>
            </w:r>
          </w:p>
          <w:p>
            <w:pPr>
              <w:spacing w:line="360" w:lineRule="auto"/>
              <w:ind w:firstLine="420" w:firstLineChars="200"/>
              <w:rPr>
                <w:rFonts w:hint="eastAsia" w:ascii="宋体" w:hAnsi="宋体" w:cs="宋体"/>
                <w:szCs w:val="21"/>
              </w:rPr>
            </w:pPr>
            <w:r>
              <w:rPr>
                <w:rFonts w:hint="eastAsia" w:ascii="宋体" w:hAnsi="宋体" w:cs="宋体"/>
                <w:szCs w:val="21"/>
              </w:rPr>
              <w:t xml:space="preserve">①评标价低的投标人优先； </w:t>
            </w:r>
          </w:p>
          <w:p>
            <w:pPr>
              <w:spacing w:line="360" w:lineRule="auto"/>
              <w:ind w:firstLine="420" w:firstLineChars="200"/>
              <w:rPr>
                <w:rFonts w:hint="eastAsia" w:ascii="宋体" w:hAnsi="宋体" w:cs="宋体"/>
              </w:rPr>
            </w:pPr>
            <w:r>
              <w:rPr>
                <w:rFonts w:hint="eastAsia" w:ascii="宋体" w:hAnsi="宋体" w:cs="宋体"/>
              </w:rPr>
              <w:t xml:space="preserve">②被招标项目所在地省级交通运输主管部门评为较高信用等级的投标人优先； </w:t>
            </w:r>
          </w:p>
          <w:p>
            <w:pPr>
              <w:spacing w:line="360" w:lineRule="auto"/>
              <w:ind w:firstLine="420" w:firstLineChars="200"/>
              <w:rPr>
                <w:rFonts w:hint="eastAsia" w:ascii="宋体" w:hAnsi="宋体" w:cs="宋体"/>
              </w:rPr>
            </w:pPr>
            <w:r>
              <w:rPr>
                <w:rFonts w:hint="eastAsia" w:ascii="宋体" w:hAnsi="宋体" w:cs="宋体"/>
              </w:rPr>
              <w:t>③若信用等级相同时，则依次以技术建议书、主要人员、企业业绩、履约信誉、技术能力各单项得分由高至低的顺序进行推荐。</w:t>
            </w:r>
          </w:p>
          <w:p>
            <w:pPr>
              <w:spacing w:line="360" w:lineRule="auto"/>
              <w:ind w:firstLine="420" w:firstLineChars="200"/>
              <w:rPr>
                <w:rFonts w:hint="eastAsia" w:ascii="宋体" w:hAnsi="宋体" w:cs="宋体"/>
              </w:rPr>
            </w:pPr>
            <w:r>
              <w:rPr>
                <w:rFonts w:hint="eastAsia" w:ascii="宋体" w:hAnsi="宋体" w:cs="宋体"/>
              </w:rPr>
              <w:t>④其他情况由评标委员会共同研究决定。</w:t>
            </w:r>
          </w:p>
          <w:p>
            <w:pPr>
              <w:spacing w:line="360" w:lineRule="auto"/>
              <w:ind w:firstLine="420" w:firstLineChars="200"/>
              <w:rPr>
                <w:rFonts w:hint="eastAsia" w:ascii="宋体" w:hAnsi="宋体" w:cs="宋体"/>
              </w:rPr>
            </w:pPr>
            <w:r>
              <w:rPr>
                <w:rFonts w:hint="eastAsia" w:ascii="宋体" w:hAnsi="宋体" w:cs="宋体"/>
              </w:rPr>
              <w:t>评标委员会将按照确定的推荐次序推荐中标候选人。</w:t>
            </w:r>
          </w:p>
          <w:p>
            <w:pPr>
              <w:spacing w:line="360" w:lineRule="auto"/>
              <w:ind w:firstLine="420" w:firstLineChars="200"/>
              <w:rPr>
                <w:rFonts w:hint="eastAsia" w:ascii="宋体" w:hAnsi="宋体" w:cs="宋体"/>
              </w:rPr>
            </w:pPr>
            <w:r>
              <w:rPr>
                <w:rFonts w:hint="eastAsia" w:ascii="宋体" w:hAnsi="宋体" w:cs="宋体"/>
              </w:rPr>
              <w:t>1.5 通过第一个信封评审且参与第二个信封开标的投标人在3个及以上的，招标人将按规定的程序进行第二个信封开标；在对第二个信封进行评审后，有效投标不足3个使得投标明显缺乏竞争的，评标委员会可以否决全部投标。评标委员会未否决全部投标的，应当在评标报告中阐明理由并推荐中标候选人。</w:t>
            </w:r>
          </w:p>
          <w:p>
            <w:pPr>
              <w:spacing w:line="360" w:lineRule="auto"/>
              <w:ind w:firstLine="420" w:firstLineChars="200"/>
              <w:rPr>
                <w:rFonts w:hint="eastAsia" w:ascii="宋体" w:hAnsi="宋体" w:cs="宋体"/>
                <w:bCs/>
                <w:szCs w:val="21"/>
              </w:rPr>
            </w:pPr>
            <w:r>
              <w:rPr>
                <w:rFonts w:hint="eastAsia" w:ascii="宋体" w:hAnsi="宋体" w:cs="宋体"/>
              </w:rPr>
              <w:t>通过第一个信封评审且参与第二个信封开标的投标人少于3个的，评标委员会可以否决全部投标；未否决全部投标的，评标委员会应当在评标报告中阐明理由，招标人将按规定的程序进行第二个信封（报价文件）开标，但评标委员会在进行第二个信封评审时仍有权否决全部投标；评标委员会未在第二个信封评审时否决全部投标的，应当在评标报告中阐明理由井推荐中标候选人。</w:t>
            </w:r>
          </w:p>
        </w:tc>
      </w:tr>
    </w:tbl>
    <w:p>
      <w:pPr>
        <w:tabs>
          <w:tab w:val="left" w:pos="845"/>
        </w:tabs>
        <w:spacing w:line="360" w:lineRule="auto"/>
        <w:rPr>
          <w:rFonts w:hint="eastAsia" w:ascii="宋体" w:hAnsi="宋体" w:cs="宋体"/>
          <w:sz w:val="28"/>
        </w:rPr>
      </w:pPr>
      <w:r>
        <w:rPr>
          <w:rFonts w:hint="eastAsia" w:ascii="宋体" w:hAnsi="宋体" w:cs="宋体"/>
          <w:b/>
          <w:sz w:val="32"/>
        </w:rPr>
        <w:br w:type="page"/>
      </w:r>
      <w:r>
        <w:rPr>
          <w:rFonts w:hint="eastAsia" w:ascii="宋体" w:hAnsi="宋体" w:cs="宋体"/>
          <w:sz w:val="28"/>
        </w:rPr>
        <w:t>1.评标方法</w:t>
      </w:r>
    </w:p>
    <w:p>
      <w:pPr>
        <w:pStyle w:val="6"/>
        <w:snapToGrid w:val="0"/>
        <w:spacing w:line="360" w:lineRule="auto"/>
        <w:ind w:firstLine="420" w:firstLineChars="200"/>
        <w:jc w:val="both"/>
        <w:rPr>
          <w:rFonts w:hint="eastAsia" w:ascii="宋体" w:hAnsi="宋体" w:cs="宋体"/>
          <w:kern w:val="2"/>
          <w:sz w:val="21"/>
          <w:szCs w:val="21"/>
        </w:rPr>
      </w:pPr>
      <w:r>
        <w:rPr>
          <w:rFonts w:hint="eastAsia" w:ascii="宋体" w:hAnsi="宋体" w:cs="宋体"/>
          <w:sz w:val="21"/>
          <w:szCs w:val="21"/>
        </w:rPr>
        <w:t>本次评标采用双信封综合评分法。评标委员会对满足招标文件实质性要求的投标文件，按照本章第2条规定的评分标准进行打分，并按得分由高到低顺序推荐中标候选人，或根据招标人授权直接确定中标人，但投标报价低于其成本的除外。综合得分相等时，评标委员会应按照评标办法前附表规定的优先次序推荐中标候选人或确定中标人</w:t>
      </w:r>
      <w:r>
        <w:rPr>
          <w:rFonts w:hint="eastAsia" w:ascii="宋体" w:hAnsi="宋体" w:cs="宋体"/>
          <w:kern w:val="2"/>
          <w:sz w:val="21"/>
          <w:szCs w:val="21"/>
        </w:rPr>
        <w:t>。</w:t>
      </w:r>
    </w:p>
    <w:p>
      <w:pPr>
        <w:tabs>
          <w:tab w:val="left" w:pos="845"/>
        </w:tabs>
        <w:adjustRightInd w:val="0"/>
        <w:snapToGrid w:val="0"/>
        <w:spacing w:line="360" w:lineRule="auto"/>
        <w:rPr>
          <w:rFonts w:hint="eastAsia" w:ascii="宋体" w:hAnsi="宋体" w:cs="宋体"/>
          <w:sz w:val="28"/>
        </w:rPr>
      </w:pPr>
      <w:r>
        <w:rPr>
          <w:rFonts w:hint="eastAsia" w:ascii="宋体" w:hAnsi="宋体" w:cs="宋体"/>
          <w:sz w:val="28"/>
        </w:rPr>
        <w:t>2.评审标准</w:t>
      </w:r>
    </w:p>
    <w:p>
      <w:pPr>
        <w:pStyle w:val="3"/>
        <w:adjustRightInd w:val="0"/>
        <w:snapToGrid w:val="0"/>
        <w:ind w:right="1316"/>
        <w:rPr>
          <w:rFonts w:hint="eastAsia" w:ascii="宋体" w:hAnsi="宋体" w:cs="宋体"/>
          <w:b/>
          <w:bCs/>
          <w:sz w:val="21"/>
          <w:szCs w:val="21"/>
        </w:rPr>
      </w:pPr>
      <w:r>
        <w:rPr>
          <w:rFonts w:hint="eastAsia" w:ascii="宋体" w:hAnsi="宋体" w:cs="宋体"/>
          <w:b/>
          <w:bCs/>
          <w:sz w:val="21"/>
          <w:szCs w:val="21"/>
        </w:rPr>
        <w:t>2.1初步评审标准</w:t>
      </w:r>
    </w:p>
    <w:p>
      <w:pPr>
        <w:pStyle w:val="3"/>
        <w:adjustRightInd w:val="0"/>
        <w:snapToGrid w:val="0"/>
        <w:ind w:right="1316" w:firstLine="420" w:firstLineChars="200"/>
        <w:rPr>
          <w:rFonts w:hint="eastAsia" w:ascii="宋体" w:hAnsi="宋体" w:cs="宋体"/>
          <w:sz w:val="21"/>
          <w:szCs w:val="21"/>
        </w:rPr>
      </w:pPr>
      <w:r>
        <w:rPr>
          <w:rFonts w:hint="eastAsia" w:ascii="宋体" w:hAnsi="宋体" w:cs="宋体"/>
          <w:sz w:val="21"/>
          <w:szCs w:val="21"/>
        </w:rPr>
        <w:t>2.1.1  形式评审标准：见评标办法前附表。</w:t>
      </w:r>
    </w:p>
    <w:p>
      <w:pPr>
        <w:pStyle w:val="3"/>
        <w:adjustRightInd w:val="0"/>
        <w:snapToGrid w:val="0"/>
        <w:ind w:right="237" w:firstLine="420" w:firstLineChars="200"/>
        <w:rPr>
          <w:rFonts w:hint="eastAsia" w:ascii="宋体" w:hAnsi="宋体" w:cs="宋体"/>
          <w:sz w:val="21"/>
          <w:szCs w:val="21"/>
        </w:rPr>
      </w:pPr>
      <w:r>
        <w:rPr>
          <w:rFonts w:hint="eastAsia" w:ascii="宋体" w:hAnsi="宋体" w:cs="宋体"/>
          <w:sz w:val="21"/>
          <w:szCs w:val="21"/>
        </w:rPr>
        <w:t>2.1.2  资格评审标准：见评标办法前附表。</w:t>
      </w:r>
    </w:p>
    <w:p>
      <w:pPr>
        <w:pStyle w:val="3"/>
        <w:adjustRightInd w:val="0"/>
        <w:snapToGrid w:val="0"/>
        <w:ind w:right="1316" w:firstLine="420" w:firstLineChars="200"/>
        <w:rPr>
          <w:rFonts w:hint="eastAsia" w:ascii="宋体" w:hAnsi="宋体" w:cs="宋体"/>
          <w:sz w:val="21"/>
          <w:szCs w:val="21"/>
        </w:rPr>
      </w:pPr>
      <w:r>
        <w:rPr>
          <w:rFonts w:hint="eastAsia" w:ascii="宋体" w:hAnsi="宋体" w:cs="宋体"/>
          <w:sz w:val="21"/>
          <w:szCs w:val="21"/>
        </w:rPr>
        <w:t>2.1.3  响应性评审标准：见评标办法前附表。</w:t>
      </w:r>
    </w:p>
    <w:p>
      <w:pPr>
        <w:pStyle w:val="3"/>
        <w:adjustRightInd w:val="0"/>
        <w:snapToGrid w:val="0"/>
        <w:ind w:right="1316"/>
        <w:rPr>
          <w:rFonts w:hint="eastAsia" w:ascii="宋体" w:hAnsi="宋体" w:cs="宋体"/>
          <w:b/>
          <w:bCs/>
          <w:sz w:val="21"/>
          <w:szCs w:val="21"/>
        </w:rPr>
      </w:pPr>
      <w:r>
        <w:rPr>
          <w:rFonts w:hint="eastAsia" w:ascii="宋体" w:hAnsi="宋体" w:cs="宋体"/>
          <w:b/>
          <w:bCs/>
          <w:sz w:val="21"/>
          <w:szCs w:val="21"/>
        </w:rPr>
        <w:t>2.2分值构成与评分标准</w:t>
      </w:r>
    </w:p>
    <w:p>
      <w:pPr>
        <w:pStyle w:val="3"/>
        <w:adjustRightInd w:val="0"/>
        <w:snapToGrid w:val="0"/>
        <w:ind w:right="1316" w:firstLine="420" w:firstLineChars="200"/>
        <w:rPr>
          <w:rFonts w:hint="eastAsia" w:ascii="宋体" w:hAnsi="宋体" w:cs="宋体"/>
          <w:sz w:val="21"/>
          <w:szCs w:val="21"/>
        </w:rPr>
      </w:pPr>
      <w:r>
        <w:rPr>
          <w:rFonts w:hint="eastAsia" w:ascii="宋体" w:hAnsi="宋体" w:cs="宋体"/>
          <w:sz w:val="21"/>
          <w:szCs w:val="21"/>
        </w:rPr>
        <w:t>2.2.1  分值构成</w:t>
      </w:r>
    </w:p>
    <w:p>
      <w:pPr>
        <w:pStyle w:val="3"/>
        <w:adjustRightInd w:val="0"/>
        <w:snapToGrid w:val="0"/>
        <w:ind w:right="3318" w:firstLine="420" w:firstLineChars="200"/>
        <w:rPr>
          <w:rFonts w:hint="eastAsia" w:ascii="宋体" w:hAnsi="宋体" w:cs="宋体"/>
          <w:sz w:val="21"/>
          <w:szCs w:val="21"/>
        </w:rPr>
      </w:pPr>
      <w:r>
        <w:rPr>
          <w:rFonts w:hint="eastAsia" w:ascii="宋体" w:hAnsi="宋体" w:cs="宋体"/>
          <w:sz w:val="21"/>
          <w:szCs w:val="21"/>
        </w:rPr>
        <w:t>（1）技术建议书：见评标办法前附表；</w:t>
      </w:r>
    </w:p>
    <w:p>
      <w:pPr>
        <w:pStyle w:val="3"/>
        <w:adjustRightInd w:val="0"/>
        <w:snapToGrid w:val="0"/>
        <w:ind w:right="3318" w:firstLine="420" w:firstLineChars="200"/>
        <w:rPr>
          <w:rFonts w:hint="eastAsia" w:ascii="宋体" w:hAnsi="宋体" w:cs="宋体"/>
          <w:sz w:val="21"/>
          <w:szCs w:val="21"/>
        </w:rPr>
      </w:pPr>
      <w:r>
        <w:rPr>
          <w:rFonts w:hint="eastAsia" w:ascii="宋体" w:hAnsi="宋体" w:cs="宋体"/>
          <w:sz w:val="21"/>
          <w:szCs w:val="21"/>
        </w:rPr>
        <w:t>（2）主要人员：见评标办法前附表；</w:t>
      </w:r>
    </w:p>
    <w:p>
      <w:pPr>
        <w:pStyle w:val="3"/>
        <w:adjustRightInd w:val="0"/>
        <w:snapToGrid w:val="0"/>
        <w:ind w:right="3318" w:firstLine="420" w:firstLineChars="200"/>
        <w:rPr>
          <w:rFonts w:hint="eastAsia" w:ascii="宋体" w:hAnsi="宋体" w:cs="宋体"/>
          <w:sz w:val="21"/>
          <w:szCs w:val="21"/>
        </w:rPr>
      </w:pPr>
      <w:r>
        <w:rPr>
          <w:rFonts w:hint="eastAsia" w:ascii="宋体" w:hAnsi="宋体" w:cs="宋体"/>
          <w:sz w:val="21"/>
          <w:szCs w:val="21"/>
        </w:rPr>
        <w:t>（3）评标价：见评标办法前附表；</w:t>
      </w:r>
    </w:p>
    <w:p>
      <w:pPr>
        <w:pStyle w:val="3"/>
        <w:adjustRightInd w:val="0"/>
        <w:snapToGrid w:val="0"/>
        <w:ind w:right="3318" w:firstLine="420" w:firstLineChars="200"/>
        <w:rPr>
          <w:rFonts w:hint="eastAsia" w:ascii="宋体" w:hAnsi="宋体" w:cs="宋体"/>
          <w:sz w:val="21"/>
          <w:szCs w:val="21"/>
        </w:rPr>
      </w:pPr>
      <w:r>
        <w:rPr>
          <w:rFonts w:hint="eastAsia" w:ascii="宋体" w:hAnsi="宋体" w:cs="宋体"/>
          <w:sz w:val="21"/>
          <w:szCs w:val="21"/>
        </w:rPr>
        <w:t>（4）其他评分因素：见评标办法前附表。</w:t>
      </w:r>
    </w:p>
    <w:p>
      <w:pPr>
        <w:pStyle w:val="3"/>
        <w:adjustRightInd w:val="0"/>
        <w:snapToGrid w:val="0"/>
        <w:ind w:right="1316" w:firstLine="420" w:firstLineChars="200"/>
        <w:rPr>
          <w:rFonts w:hint="eastAsia" w:ascii="宋体" w:hAnsi="宋体" w:cs="宋体"/>
          <w:sz w:val="21"/>
          <w:szCs w:val="21"/>
        </w:rPr>
      </w:pPr>
      <w:r>
        <w:rPr>
          <w:rFonts w:hint="eastAsia" w:ascii="宋体" w:hAnsi="宋体" w:cs="宋体"/>
          <w:sz w:val="21"/>
          <w:szCs w:val="21"/>
        </w:rPr>
        <w:t>2.2.2 评标基准价计算:见评标办法前附表。</w:t>
      </w:r>
    </w:p>
    <w:p>
      <w:pPr>
        <w:pStyle w:val="3"/>
        <w:adjustRightInd w:val="0"/>
        <w:snapToGrid w:val="0"/>
        <w:ind w:right="3208" w:firstLine="420" w:firstLineChars="200"/>
        <w:rPr>
          <w:rFonts w:hint="eastAsia" w:ascii="宋体" w:hAnsi="宋体" w:cs="宋体"/>
          <w:sz w:val="21"/>
          <w:szCs w:val="21"/>
        </w:rPr>
      </w:pPr>
      <w:r>
        <w:rPr>
          <w:rFonts w:hint="eastAsia" w:ascii="宋体" w:hAnsi="宋体" w:cs="宋体"/>
          <w:sz w:val="21"/>
          <w:szCs w:val="21"/>
        </w:rPr>
        <w:t xml:space="preserve">2.2.3 评标价的偏差率计算 </w:t>
      </w:r>
    </w:p>
    <w:p>
      <w:pPr>
        <w:pStyle w:val="3"/>
        <w:adjustRightInd w:val="0"/>
        <w:snapToGrid w:val="0"/>
        <w:ind w:right="3208" w:firstLine="420" w:firstLineChars="200"/>
        <w:rPr>
          <w:rFonts w:hint="eastAsia" w:ascii="宋体" w:hAnsi="宋体" w:cs="宋体"/>
          <w:sz w:val="21"/>
          <w:szCs w:val="21"/>
        </w:rPr>
      </w:pPr>
      <w:r>
        <w:rPr>
          <w:rFonts w:hint="eastAsia" w:ascii="宋体" w:hAnsi="宋体" w:cs="宋体"/>
          <w:sz w:val="21"/>
          <w:szCs w:val="21"/>
        </w:rPr>
        <w:t xml:space="preserve">评标价的偏差率计算公式：见评标办法前附表 。 </w:t>
      </w:r>
    </w:p>
    <w:p>
      <w:pPr>
        <w:pStyle w:val="3"/>
        <w:adjustRightInd w:val="0"/>
        <w:snapToGrid w:val="0"/>
        <w:ind w:right="3208" w:firstLine="420" w:firstLineChars="200"/>
        <w:rPr>
          <w:rFonts w:hint="eastAsia" w:ascii="宋体" w:hAnsi="宋体" w:cs="宋体"/>
          <w:sz w:val="21"/>
          <w:szCs w:val="21"/>
        </w:rPr>
      </w:pPr>
      <w:r>
        <w:rPr>
          <w:rFonts w:hint="eastAsia" w:ascii="宋体" w:hAnsi="宋体" w:cs="宋体"/>
          <w:sz w:val="21"/>
          <w:szCs w:val="21"/>
        </w:rPr>
        <w:t>2.2.4 评分标准</w:t>
      </w:r>
    </w:p>
    <w:p>
      <w:pPr>
        <w:pStyle w:val="3"/>
        <w:adjustRightInd w:val="0"/>
        <w:snapToGrid w:val="0"/>
        <w:ind w:right="3208" w:firstLine="420" w:firstLineChars="200"/>
        <w:rPr>
          <w:rFonts w:hint="eastAsia" w:ascii="宋体" w:hAnsi="宋体" w:cs="宋体"/>
          <w:sz w:val="21"/>
          <w:szCs w:val="21"/>
        </w:rPr>
      </w:pPr>
      <w:r>
        <w:rPr>
          <w:rFonts w:hint="eastAsia" w:ascii="宋体" w:hAnsi="宋体" w:cs="宋体"/>
          <w:sz w:val="21"/>
          <w:szCs w:val="21"/>
        </w:rPr>
        <w:t>（1）技术建议书评分标准：见评标办法前附表；</w:t>
      </w:r>
    </w:p>
    <w:p>
      <w:pPr>
        <w:pStyle w:val="3"/>
        <w:adjustRightInd w:val="0"/>
        <w:snapToGrid w:val="0"/>
        <w:ind w:right="3208" w:firstLine="420" w:firstLineChars="200"/>
        <w:rPr>
          <w:rFonts w:hint="eastAsia" w:ascii="宋体" w:hAnsi="宋体" w:cs="宋体"/>
          <w:sz w:val="21"/>
          <w:szCs w:val="21"/>
        </w:rPr>
      </w:pPr>
      <w:r>
        <w:rPr>
          <w:rFonts w:hint="eastAsia" w:ascii="宋体" w:hAnsi="宋体" w:cs="宋体"/>
          <w:sz w:val="21"/>
          <w:szCs w:val="21"/>
        </w:rPr>
        <w:t>（2）主要人员评分标准：见评标办法前附表；</w:t>
      </w:r>
    </w:p>
    <w:p>
      <w:pPr>
        <w:pStyle w:val="3"/>
        <w:adjustRightInd w:val="0"/>
        <w:snapToGrid w:val="0"/>
        <w:ind w:right="3208" w:firstLine="420" w:firstLineChars="200"/>
        <w:rPr>
          <w:rFonts w:hint="eastAsia" w:ascii="宋体" w:hAnsi="宋体" w:cs="宋体"/>
          <w:sz w:val="21"/>
          <w:szCs w:val="21"/>
        </w:rPr>
      </w:pPr>
      <w:r>
        <w:rPr>
          <w:rFonts w:hint="eastAsia" w:ascii="宋体" w:hAnsi="宋体" w:cs="宋体"/>
          <w:sz w:val="21"/>
          <w:szCs w:val="21"/>
        </w:rPr>
        <w:t>（3）评标价评分标准：见评标办法前附表；</w:t>
      </w:r>
    </w:p>
    <w:p>
      <w:pPr>
        <w:pStyle w:val="3"/>
        <w:adjustRightInd w:val="0"/>
        <w:snapToGrid w:val="0"/>
        <w:ind w:right="1316" w:firstLine="420" w:firstLineChars="200"/>
        <w:rPr>
          <w:rFonts w:hint="eastAsia" w:ascii="宋体" w:hAnsi="宋体" w:cs="宋体"/>
          <w:sz w:val="21"/>
          <w:szCs w:val="21"/>
        </w:rPr>
      </w:pPr>
      <w:r>
        <w:rPr>
          <w:rFonts w:hint="eastAsia" w:ascii="宋体" w:hAnsi="宋体" w:cs="宋体"/>
          <w:sz w:val="21"/>
          <w:szCs w:val="21"/>
        </w:rPr>
        <w:t>（4）其他因素评分标准：见评标办法前附表。</w:t>
      </w:r>
    </w:p>
    <w:p>
      <w:pPr>
        <w:adjustRightInd w:val="0"/>
        <w:snapToGrid w:val="0"/>
        <w:spacing w:line="360" w:lineRule="auto"/>
        <w:rPr>
          <w:rFonts w:hint="eastAsia" w:ascii="宋体" w:hAnsi="宋体" w:cs="宋体"/>
          <w:szCs w:val="21"/>
        </w:rPr>
        <w:sectPr>
          <w:pgSz w:w="11910" w:h="16840"/>
          <w:pgMar w:top="1140" w:right="1280" w:bottom="1260" w:left="1500" w:header="889" w:footer="1065" w:gutter="0"/>
          <w:cols w:space="720" w:num="1"/>
        </w:sectPr>
      </w:pPr>
    </w:p>
    <w:p>
      <w:pPr>
        <w:tabs>
          <w:tab w:val="left" w:pos="845"/>
        </w:tabs>
        <w:adjustRightInd w:val="0"/>
        <w:snapToGrid w:val="0"/>
        <w:spacing w:line="360" w:lineRule="auto"/>
        <w:rPr>
          <w:rFonts w:hint="eastAsia" w:ascii="宋体" w:hAnsi="宋体" w:cs="宋体"/>
          <w:sz w:val="28"/>
        </w:rPr>
      </w:pPr>
      <w:r>
        <w:rPr>
          <w:rFonts w:hint="eastAsia" w:ascii="宋体" w:hAnsi="宋体" w:cs="宋体"/>
          <w:sz w:val="28"/>
        </w:rPr>
        <w:t>3.评标程序</w:t>
      </w:r>
    </w:p>
    <w:p>
      <w:pPr>
        <w:adjustRightInd w:val="0"/>
        <w:snapToGrid w:val="0"/>
        <w:spacing w:line="360" w:lineRule="auto"/>
        <w:rPr>
          <w:rFonts w:hint="eastAsia" w:ascii="宋体" w:hAnsi="宋体" w:cs="宋体"/>
          <w:b/>
          <w:bCs/>
          <w:szCs w:val="21"/>
        </w:rPr>
      </w:pPr>
      <w:r>
        <w:rPr>
          <w:rFonts w:hint="eastAsia" w:ascii="宋体" w:hAnsi="宋体" w:cs="宋体"/>
          <w:b/>
          <w:bCs/>
          <w:szCs w:val="21"/>
        </w:rPr>
        <w:t>3.1第一个信封初步评审</w:t>
      </w:r>
    </w:p>
    <w:p>
      <w:pPr>
        <w:pStyle w:val="3"/>
        <w:adjustRightInd w:val="0"/>
        <w:snapToGrid w:val="0"/>
        <w:ind w:right="16"/>
        <w:rPr>
          <w:rFonts w:hint="eastAsia" w:ascii="宋体" w:hAnsi="宋体" w:cs="宋体"/>
          <w:sz w:val="21"/>
          <w:szCs w:val="21"/>
        </w:rPr>
      </w:pPr>
      <w:r>
        <w:rPr>
          <w:rFonts w:hint="eastAsia" w:ascii="宋体" w:hAnsi="宋体" w:cs="宋体"/>
          <w:sz w:val="21"/>
          <w:szCs w:val="21"/>
        </w:rPr>
        <w:t xml:space="preserve">   评标委员会可以要求投标人提交第二章“投标人须知”第3.5.1项至第3.5.5项规定的有关证明和证件的原件，以便核验。评标委员会依据本章第2.1款规定的标准对投标文件第一个信封（商务及技术文件）进行初步评审。有一项不符合评审标准的，评标委员会应否决其投标。</w:t>
      </w:r>
    </w:p>
    <w:p>
      <w:pPr>
        <w:adjustRightInd w:val="0"/>
        <w:snapToGrid w:val="0"/>
        <w:spacing w:line="360" w:lineRule="auto"/>
        <w:rPr>
          <w:rFonts w:hint="eastAsia" w:ascii="宋体" w:hAnsi="宋体" w:cs="宋体"/>
          <w:b/>
          <w:bCs/>
          <w:szCs w:val="21"/>
        </w:rPr>
      </w:pPr>
      <w:r>
        <w:rPr>
          <w:rFonts w:hint="eastAsia" w:ascii="宋体" w:hAnsi="宋体" w:cs="宋体"/>
          <w:b/>
          <w:bCs/>
          <w:szCs w:val="21"/>
        </w:rPr>
        <w:t>3.2第一个信封详细评审</w:t>
      </w:r>
    </w:p>
    <w:p>
      <w:pPr>
        <w:pStyle w:val="3"/>
        <w:adjustRightInd w:val="0"/>
        <w:snapToGrid w:val="0"/>
        <w:ind w:right="16" w:firstLine="420" w:firstLineChars="200"/>
        <w:rPr>
          <w:rFonts w:hint="eastAsia" w:ascii="宋体" w:hAnsi="宋体" w:cs="宋体"/>
          <w:sz w:val="21"/>
          <w:szCs w:val="21"/>
        </w:rPr>
      </w:pPr>
      <w:r>
        <w:rPr>
          <w:rFonts w:hint="eastAsia" w:ascii="宋体" w:hAnsi="宋体" w:cs="宋体"/>
          <w:sz w:val="21"/>
          <w:szCs w:val="21"/>
        </w:rPr>
        <w:t xml:space="preserve">3.2.1 评标委员会按本章第 2.2 款规定的量化因素和分值进行打分，并计算出各投 </w:t>
      </w:r>
    </w:p>
    <w:p>
      <w:pPr>
        <w:pStyle w:val="3"/>
        <w:adjustRightInd w:val="0"/>
        <w:snapToGrid w:val="0"/>
        <w:ind w:right="16" w:firstLine="420" w:firstLineChars="200"/>
        <w:rPr>
          <w:rFonts w:hint="eastAsia" w:ascii="宋体" w:hAnsi="宋体" w:cs="宋体"/>
          <w:sz w:val="21"/>
          <w:szCs w:val="21"/>
        </w:rPr>
      </w:pPr>
      <w:r>
        <w:rPr>
          <w:rFonts w:hint="eastAsia" w:ascii="宋体" w:hAnsi="宋体" w:cs="宋体"/>
          <w:sz w:val="21"/>
          <w:szCs w:val="21"/>
        </w:rPr>
        <w:t xml:space="preserve">标人的商务和技术得分 。 </w:t>
      </w:r>
    </w:p>
    <w:p>
      <w:pPr>
        <w:pStyle w:val="3"/>
        <w:adjustRightInd w:val="0"/>
        <w:snapToGrid w:val="0"/>
        <w:ind w:right="16" w:firstLine="420" w:firstLineChars="200"/>
        <w:rPr>
          <w:rFonts w:hint="eastAsia" w:ascii="宋体" w:hAnsi="宋体" w:cs="宋体"/>
          <w:sz w:val="21"/>
          <w:szCs w:val="21"/>
        </w:rPr>
      </w:pPr>
      <w:r>
        <w:rPr>
          <w:rFonts w:hint="eastAsia" w:ascii="宋体" w:hAnsi="宋体" w:cs="宋体"/>
          <w:sz w:val="21"/>
          <w:szCs w:val="21"/>
        </w:rPr>
        <w:t xml:space="preserve">(1) 按本章前附表规定的评审因素和分值对技术建议书部分计算出得分 A； </w:t>
      </w:r>
    </w:p>
    <w:p>
      <w:pPr>
        <w:pStyle w:val="3"/>
        <w:adjustRightInd w:val="0"/>
        <w:snapToGrid w:val="0"/>
        <w:ind w:right="16" w:firstLine="420" w:firstLineChars="200"/>
        <w:rPr>
          <w:rFonts w:hint="eastAsia" w:ascii="宋体" w:hAnsi="宋体" w:cs="宋体"/>
          <w:sz w:val="21"/>
          <w:szCs w:val="21"/>
        </w:rPr>
      </w:pPr>
      <w:r>
        <w:rPr>
          <w:rFonts w:hint="eastAsia" w:ascii="宋体" w:hAnsi="宋体" w:cs="宋体"/>
          <w:sz w:val="21"/>
          <w:szCs w:val="21"/>
        </w:rPr>
        <w:t xml:space="preserve">(2) 按本章前附表规定的评审因素和分值对主要人员部分计算出得分 B； </w:t>
      </w:r>
    </w:p>
    <w:p>
      <w:pPr>
        <w:pStyle w:val="3"/>
        <w:adjustRightInd w:val="0"/>
        <w:snapToGrid w:val="0"/>
        <w:ind w:right="16" w:firstLine="420" w:firstLineChars="200"/>
        <w:rPr>
          <w:rFonts w:hint="eastAsia" w:ascii="宋体" w:hAnsi="宋体" w:cs="宋体"/>
          <w:sz w:val="21"/>
          <w:szCs w:val="21"/>
        </w:rPr>
      </w:pPr>
      <w:r>
        <w:rPr>
          <w:rFonts w:hint="eastAsia" w:ascii="宋体" w:hAnsi="宋体" w:cs="宋体"/>
          <w:sz w:val="21"/>
          <w:szCs w:val="21"/>
        </w:rPr>
        <w:t xml:space="preserve">(3) 按本章前附表规定的评审因素和分值对企业业绩计算出得分 D； </w:t>
      </w:r>
    </w:p>
    <w:p>
      <w:pPr>
        <w:pStyle w:val="3"/>
        <w:adjustRightInd w:val="0"/>
        <w:snapToGrid w:val="0"/>
        <w:ind w:right="16" w:firstLine="420" w:firstLineChars="200"/>
        <w:rPr>
          <w:rFonts w:hint="eastAsia" w:ascii="宋体" w:hAnsi="宋体" w:cs="宋体"/>
          <w:sz w:val="21"/>
          <w:szCs w:val="21"/>
        </w:rPr>
      </w:pPr>
      <w:r>
        <w:rPr>
          <w:rFonts w:hint="eastAsia" w:ascii="宋体" w:hAnsi="宋体" w:cs="宋体"/>
          <w:sz w:val="21"/>
          <w:szCs w:val="21"/>
        </w:rPr>
        <w:t xml:space="preserve">(4) 按本章前附表规定的评审因素和分值对技术能力计算出得分 E； </w:t>
      </w:r>
    </w:p>
    <w:p>
      <w:pPr>
        <w:pStyle w:val="3"/>
        <w:adjustRightInd w:val="0"/>
        <w:snapToGrid w:val="0"/>
        <w:ind w:right="16" w:firstLine="420" w:firstLineChars="200"/>
        <w:rPr>
          <w:rFonts w:hint="eastAsia" w:ascii="宋体" w:hAnsi="宋体" w:cs="宋体"/>
          <w:sz w:val="21"/>
          <w:szCs w:val="21"/>
        </w:rPr>
      </w:pPr>
      <w:r>
        <w:rPr>
          <w:rFonts w:hint="eastAsia" w:ascii="宋体" w:hAnsi="宋体" w:cs="宋体"/>
          <w:sz w:val="21"/>
          <w:szCs w:val="21"/>
        </w:rPr>
        <w:t xml:space="preserve">(5) 按本章前附表规定的评审因素和分值对履约信誉计算出得分 F； </w:t>
      </w:r>
    </w:p>
    <w:p>
      <w:pPr>
        <w:pStyle w:val="3"/>
        <w:adjustRightInd w:val="0"/>
        <w:snapToGrid w:val="0"/>
        <w:ind w:right="16" w:firstLine="420" w:firstLineChars="200"/>
        <w:rPr>
          <w:rFonts w:hint="eastAsia" w:ascii="宋体" w:hAnsi="宋体" w:cs="宋体"/>
          <w:sz w:val="21"/>
          <w:szCs w:val="21"/>
        </w:rPr>
      </w:pPr>
      <w:r>
        <w:rPr>
          <w:rFonts w:hint="eastAsia" w:ascii="宋体" w:hAnsi="宋体" w:cs="宋体"/>
          <w:sz w:val="21"/>
          <w:szCs w:val="21"/>
        </w:rPr>
        <w:t xml:space="preserve">3.2.2 投标人的商务和技术得分分值计算保留小数点后两位，小数点后第三位“四 </w:t>
      </w:r>
    </w:p>
    <w:p>
      <w:pPr>
        <w:pStyle w:val="3"/>
        <w:adjustRightInd w:val="0"/>
        <w:snapToGrid w:val="0"/>
        <w:ind w:right="16" w:firstLine="420" w:firstLineChars="200"/>
        <w:rPr>
          <w:rFonts w:hint="eastAsia" w:ascii="宋体" w:hAnsi="宋体" w:cs="宋体"/>
          <w:sz w:val="21"/>
          <w:szCs w:val="21"/>
        </w:rPr>
      </w:pPr>
      <w:r>
        <w:rPr>
          <w:rFonts w:hint="eastAsia" w:ascii="宋体" w:hAnsi="宋体" w:cs="宋体"/>
          <w:sz w:val="21"/>
          <w:szCs w:val="21"/>
        </w:rPr>
        <w:t xml:space="preserve">舍五入”。 </w:t>
      </w:r>
    </w:p>
    <w:p>
      <w:pPr>
        <w:pStyle w:val="3"/>
        <w:adjustRightInd w:val="0"/>
        <w:snapToGrid w:val="0"/>
        <w:ind w:right="16" w:firstLine="420" w:firstLineChars="200"/>
        <w:rPr>
          <w:rFonts w:hint="eastAsia" w:ascii="宋体" w:hAnsi="宋体" w:cs="宋体"/>
          <w:sz w:val="21"/>
          <w:szCs w:val="21"/>
        </w:rPr>
      </w:pPr>
      <w:r>
        <w:rPr>
          <w:rFonts w:hint="eastAsia" w:ascii="宋体" w:hAnsi="宋体" w:cs="宋体"/>
          <w:sz w:val="21"/>
          <w:szCs w:val="21"/>
        </w:rPr>
        <w:t xml:space="preserve">3.2.3 投标人的商务和技术得分 A+B+D+E+F。 </w:t>
      </w:r>
    </w:p>
    <w:p>
      <w:pPr>
        <w:adjustRightInd w:val="0"/>
        <w:snapToGrid w:val="0"/>
        <w:spacing w:line="360" w:lineRule="auto"/>
        <w:rPr>
          <w:rFonts w:hint="eastAsia" w:ascii="宋体" w:hAnsi="宋体" w:cs="宋体"/>
          <w:b/>
          <w:bCs/>
          <w:szCs w:val="21"/>
        </w:rPr>
      </w:pPr>
      <w:r>
        <w:rPr>
          <w:rFonts w:hint="eastAsia" w:ascii="宋体" w:hAnsi="宋体" w:cs="宋体"/>
          <w:b/>
          <w:bCs/>
          <w:szCs w:val="21"/>
        </w:rPr>
        <w:t>3.3 第二个信封开标</w:t>
      </w:r>
    </w:p>
    <w:p>
      <w:pPr>
        <w:pStyle w:val="3"/>
        <w:adjustRightInd w:val="0"/>
        <w:snapToGrid w:val="0"/>
        <w:ind w:right="303" w:firstLine="420" w:firstLineChars="200"/>
        <w:rPr>
          <w:rFonts w:hint="eastAsia" w:ascii="宋体" w:hAnsi="宋体" w:cs="宋体"/>
          <w:sz w:val="21"/>
          <w:szCs w:val="21"/>
        </w:rPr>
      </w:pPr>
      <w:r>
        <w:rPr>
          <w:rFonts w:hint="eastAsia" w:ascii="宋体" w:hAnsi="宋体" w:cs="宋体"/>
          <w:sz w:val="21"/>
          <w:szCs w:val="21"/>
        </w:rPr>
        <w:t>第一个信封（商务及技术文件）评审结束后，招标人将按照第二章“投标人须知”第5.1款规定的时间和地点对通过投标文件第一个信封（商务及技术文件）评审的投标文件第二个信封（报价文件）进行开标。</w:t>
      </w:r>
    </w:p>
    <w:p>
      <w:pPr>
        <w:adjustRightInd w:val="0"/>
        <w:snapToGrid w:val="0"/>
        <w:spacing w:line="360" w:lineRule="auto"/>
        <w:rPr>
          <w:rFonts w:hint="eastAsia" w:ascii="宋体" w:hAnsi="宋体" w:cs="宋体"/>
          <w:b/>
          <w:bCs/>
          <w:szCs w:val="21"/>
        </w:rPr>
      </w:pPr>
      <w:r>
        <w:rPr>
          <w:rFonts w:hint="eastAsia" w:ascii="宋体" w:hAnsi="宋体" w:cs="宋体"/>
          <w:b/>
          <w:bCs/>
          <w:szCs w:val="21"/>
        </w:rPr>
        <w:t>3.4第二个信封初步评审</w:t>
      </w:r>
    </w:p>
    <w:p>
      <w:pPr>
        <w:pStyle w:val="3"/>
        <w:adjustRightInd w:val="0"/>
        <w:snapToGrid w:val="0"/>
        <w:ind w:right="326" w:firstLine="420" w:firstLineChars="200"/>
        <w:rPr>
          <w:rFonts w:hint="eastAsia" w:ascii="宋体" w:hAnsi="宋体" w:cs="宋体"/>
          <w:sz w:val="21"/>
          <w:szCs w:val="21"/>
        </w:rPr>
      </w:pPr>
      <w:r>
        <w:rPr>
          <w:rFonts w:hint="eastAsia" w:ascii="宋体" w:hAnsi="宋体" w:cs="宋体"/>
          <w:sz w:val="21"/>
          <w:szCs w:val="21"/>
        </w:rPr>
        <w:t>3.4.1 评标委员会依据本章第2.1.1项、第2.1.3项规定的评审标准对投标文件第二个信封（报价文件）进行初步评审。有一项不符合评审标准的，评标委员会应否决其投标。</w:t>
      </w:r>
    </w:p>
    <w:p>
      <w:pPr>
        <w:pStyle w:val="3"/>
        <w:adjustRightInd w:val="0"/>
        <w:snapToGrid w:val="0"/>
        <w:ind w:right="16" w:firstLine="420" w:firstLineChars="200"/>
        <w:rPr>
          <w:rFonts w:hint="eastAsia" w:ascii="宋体" w:hAnsi="宋体" w:cs="宋体"/>
          <w:sz w:val="21"/>
          <w:szCs w:val="21"/>
        </w:rPr>
      </w:pPr>
      <w:r>
        <w:rPr>
          <w:rFonts w:hint="eastAsia" w:ascii="宋体" w:hAnsi="宋体" w:cs="宋体"/>
          <w:sz w:val="21"/>
          <w:szCs w:val="21"/>
        </w:rPr>
        <w:t>3.4.2 投标报价有算术错误的，评标委员会按以下原则对投标报价进行修正，修正的价格经投标人书面确认后具有约束力。投标人不接受修正价格的，评标委员会应否决其投标 。</w:t>
      </w:r>
    </w:p>
    <w:p>
      <w:pPr>
        <w:pStyle w:val="3"/>
        <w:adjustRightInd w:val="0"/>
        <w:snapToGrid w:val="0"/>
        <w:ind w:right="262" w:firstLine="420" w:firstLineChars="200"/>
        <w:rPr>
          <w:rFonts w:hint="eastAsia" w:ascii="宋体" w:hAnsi="宋体" w:cs="宋体"/>
          <w:sz w:val="21"/>
          <w:szCs w:val="21"/>
        </w:rPr>
      </w:pPr>
      <w:r>
        <w:rPr>
          <w:rFonts w:hint="eastAsia" w:ascii="宋体" w:hAnsi="宋体" w:cs="宋体"/>
          <w:sz w:val="21"/>
          <w:szCs w:val="21"/>
        </w:rPr>
        <w:t>(1)  投标文件中的大写金额与小写金额不一致的，以大写金额为准；</w:t>
      </w:r>
    </w:p>
    <w:p>
      <w:pPr>
        <w:pStyle w:val="3"/>
        <w:adjustRightInd w:val="0"/>
        <w:snapToGrid w:val="0"/>
        <w:ind w:right="88" w:firstLine="420" w:firstLineChars="200"/>
        <w:rPr>
          <w:rFonts w:hint="eastAsia" w:ascii="宋体" w:hAnsi="宋体" w:cs="宋体"/>
          <w:sz w:val="21"/>
          <w:szCs w:val="21"/>
        </w:rPr>
      </w:pPr>
      <w:r>
        <w:rPr>
          <w:rFonts w:hint="eastAsia" w:ascii="宋体" w:hAnsi="宋体" w:cs="宋体"/>
          <w:sz w:val="21"/>
          <w:szCs w:val="21"/>
        </w:rPr>
        <w:t>(2) 总价金额与依据单价计算出的结果不一致的，以单价金额为准修正总价，但单价金额小数点有明显错误的除外：</w:t>
      </w:r>
    </w:p>
    <w:p>
      <w:pPr>
        <w:pStyle w:val="3"/>
        <w:adjustRightInd w:val="0"/>
        <w:snapToGrid w:val="0"/>
        <w:ind w:right="288" w:firstLine="420" w:firstLineChars="200"/>
        <w:rPr>
          <w:rFonts w:hint="eastAsia" w:ascii="宋体" w:hAnsi="宋体" w:cs="宋体"/>
          <w:sz w:val="21"/>
          <w:szCs w:val="21"/>
        </w:rPr>
      </w:pPr>
      <w:r>
        <w:rPr>
          <w:rFonts w:hint="eastAsia" w:ascii="宋体" w:hAnsi="宋体" w:cs="宋体"/>
          <w:sz w:val="21"/>
          <w:szCs w:val="21"/>
        </w:rPr>
        <w:t>(3) 当单价与数量相乘不等于合价时，以单价计算为准，如果单价有明显的小 数点位置差错，应以标出的合价为准，同时对单价予以修正：</w:t>
      </w:r>
    </w:p>
    <w:p>
      <w:pPr>
        <w:pStyle w:val="3"/>
        <w:adjustRightInd w:val="0"/>
        <w:snapToGrid w:val="0"/>
        <w:ind w:right="179" w:firstLine="420" w:firstLineChars="200"/>
        <w:rPr>
          <w:rFonts w:hint="eastAsia" w:ascii="宋体" w:hAnsi="宋体" w:cs="宋体"/>
          <w:sz w:val="21"/>
          <w:szCs w:val="21"/>
        </w:rPr>
      </w:pPr>
      <w:r>
        <w:rPr>
          <w:rFonts w:hint="eastAsia" w:ascii="宋体" w:hAnsi="宋体" w:cs="宋体"/>
          <w:sz w:val="21"/>
          <w:szCs w:val="21"/>
        </w:rPr>
        <w:t>(4)  当各子目的合价累计不等于总价时，应以各子 目合价累计数为准，修正总价。</w:t>
      </w:r>
    </w:p>
    <w:p>
      <w:pPr>
        <w:pStyle w:val="3"/>
        <w:tabs>
          <w:tab w:val="left" w:pos="5935"/>
        </w:tabs>
        <w:adjustRightInd w:val="0"/>
        <w:snapToGrid w:val="0"/>
        <w:ind w:right="271" w:firstLine="420" w:firstLineChars="200"/>
        <w:rPr>
          <w:rFonts w:hint="eastAsia" w:ascii="宋体" w:hAnsi="宋体" w:cs="宋体"/>
          <w:sz w:val="21"/>
          <w:szCs w:val="21"/>
        </w:rPr>
      </w:pPr>
      <w:r>
        <w:rPr>
          <w:rFonts w:hint="eastAsia" w:ascii="宋体" w:hAnsi="宋体" w:cs="宋体"/>
          <w:sz w:val="21"/>
          <w:szCs w:val="21"/>
        </w:rPr>
        <w:t>3.4.3 修正后的最终投标报价若超过最高投标限价（如有），评标委员会应否决其投标。</w:t>
      </w:r>
    </w:p>
    <w:p>
      <w:pPr>
        <w:pStyle w:val="3"/>
        <w:adjustRightInd w:val="0"/>
        <w:snapToGrid w:val="0"/>
        <w:ind w:right="141" w:firstLine="420" w:firstLineChars="200"/>
        <w:rPr>
          <w:rFonts w:hint="eastAsia" w:ascii="宋体" w:hAnsi="宋体" w:cs="宋体"/>
          <w:sz w:val="21"/>
          <w:szCs w:val="21"/>
        </w:rPr>
      </w:pPr>
      <w:r>
        <w:rPr>
          <w:rFonts w:hint="eastAsia" w:ascii="宋体" w:hAnsi="宋体" w:cs="宋体"/>
          <w:sz w:val="21"/>
          <w:szCs w:val="21"/>
        </w:rPr>
        <w:t>3.4.4 修正后的最终投标报价仅作为签订合同的一个依据，不参与评标价得分的计算。</w:t>
      </w:r>
    </w:p>
    <w:p>
      <w:pPr>
        <w:adjustRightInd w:val="0"/>
        <w:snapToGrid w:val="0"/>
        <w:spacing w:line="360" w:lineRule="auto"/>
        <w:rPr>
          <w:rFonts w:hint="eastAsia" w:ascii="宋体" w:hAnsi="宋体" w:cs="宋体"/>
          <w:b/>
          <w:bCs/>
          <w:szCs w:val="21"/>
        </w:rPr>
      </w:pPr>
      <w:r>
        <w:rPr>
          <w:rFonts w:hint="eastAsia" w:ascii="宋体" w:hAnsi="宋体" w:cs="宋体"/>
          <w:b/>
          <w:bCs/>
          <w:szCs w:val="21"/>
        </w:rPr>
        <w:t>3.5第二个信封详细评审</w:t>
      </w:r>
    </w:p>
    <w:p>
      <w:pPr>
        <w:pStyle w:val="3"/>
        <w:adjustRightInd w:val="0"/>
        <w:snapToGrid w:val="0"/>
        <w:ind w:right="281" w:firstLine="420" w:firstLineChars="200"/>
        <w:rPr>
          <w:rFonts w:hint="eastAsia" w:ascii="宋体" w:hAnsi="宋体" w:cs="宋体"/>
          <w:sz w:val="21"/>
          <w:szCs w:val="21"/>
        </w:rPr>
      </w:pPr>
      <w:r>
        <w:rPr>
          <w:rFonts w:hint="eastAsia" w:ascii="宋体" w:hAnsi="宋体" w:cs="宋体"/>
          <w:sz w:val="21"/>
          <w:szCs w:val="21"/>
        </w:rPr>
        <w:t>3.5.1 评标委员会按本章第2.2.4项（3）目规定的评审因素和分值对评标价计算出得分C。评标价得分分值计算保留小数点后两位，小数点后第三位“四舍五入”。</w:t>
      </w:r>
    </w:p>
    <w:p>
      <w:pPr>
        <w:adjustRightInd w:val="0"/>
        <w:snapToGrid w:val="0"/>
        <w:spacing w:line="360" w:lineRule="auto"/>
        <w:ind w:right="262" w:firstLine="420" w:firstLineChars="200"/>
        <w:rPr>
          <w:rFonts w:hint="eastAsia" w:ascii="宋体" w:hAnsi="宋体" w:cs="宋体"/>
          <w:szCs w:val="21"/>
        </w:rPr>
      </w:pPr>
      <w:r>
        <w:rPr>
          <w:rFonts w:hint="eastAsia" w:ascii="宋体" w:hAnsi="宋体" w:cs="宋体"/>
          <w:szCs w:val="21"/>
        </w:rPr>
        <w:t>3.5.2 投标人综合得分=投标人的商务和技术得分＋C 。</w:t>
      </w:r>
    </w:p>
    <w:p>
      <w:pPr>
        <w:pStyle w:val="3"/>
        <w:adjustRightInd w:val="0"/>
        <w:snapToGrid w:val="0"/>
        <w:ind w:right="275" w:firstLine="420" w:firstLineChars="200"/>
        <w:rPr>
          <w:rFonts w:hint="eastAsia" w:ascii="宋体" w:hAnsi="宋体" w:cs="宋体"/>
          <w:sz w:val="21"/>
          <w:szCs w:val="21"/>
        </w:rPr>
      </w:pPr>
      <w:r>
        <w:rPr>
          <w:rFonts w:hint="eastAsia" w:ascii="宋体" w:hAnsi="宋体" w:cs="宋体"/>
          <w:sz w:val="21"/>
          <w:szCs w:val="21"/>
        </w:rPr>
        <w:t>3.5.3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adjustRightInd w:val="0"/>
        <w:snapToGrid w:val="0"/>
        <w:spacing w:line="360" w:lineRule="auto"/>
        <w:rPr>
          <w:rFonts w:hint="eastAsia" w:ascii="宋体" w:hAnsi="宋体" w:cs="宋体"/>
          <w:b/>
          <w:bCs/>
          <w:szCs w:val="21"/>
        </w:rPr>
      </w:pPr>
      <w:r>
        <w:rPr>
          <w:rFonts w:hint="eastAsia" w:ascii="宋体" w:hAnsi="宋体" w:cs="宋体"/>
          <w:b/>
          <w:bCs/>
          <w:szCs w:val="21"/>
        </w:rPr>
        <w:t>3.6 投标文件相关信息的核查</w:t>
      </w:r>
    </w:p>
    <w:p>
      <w:pPr>
        <w:pStyle w:val="3"/>
        <w:adjustRightInd w:val="0"/>
        <w:snapToGrid w:val="0"/>
        <w:ind w:right="185" w:firstLine="420" w:firstLineChars="200"/>
        <w:rPr>
          <w:rFonts w:hint="eastAsia" w:ascii="宋体" w:hAnsi="宋体" w:cs="宋体"/>
          <w:sz w:val="21"/>
          <w:szCs w:val="21"/>
        </w:rPr>
      </w:pPr>
      <w:r>
        <w:rPr>
          <w:rFonts w:hint="eastAsia" w:ascii="宋体" w:hAnsi="宋体" w:cs="宋体"/>
          <w:sz w:val="21"/>
          <w:szCs w:val="21"/>
        </w:rPr>
        <w:t>3.6.1 在评标过程中，评标委员会应查询投标人是否列入国家企业信用信息公示系统（</w:t>
      </w:r>
      <w:r>
        <w:rPr>
          <w:rFonts w:hint="eastAsia" w:ascii="宋体" w:hAnsi="宋体" w:cs="宋体"/>
          <w:sz w:val="21"/>
          <w:szCs w:val="21"/>
        </w:rPr>
        <w:fldChar w:fldCharType="begin"/>
      </w:r>
      <w:r>
        <w:rPr>
          <w:rFonts w:hint="eastAsia" w:ascii="宋体" w:hAnsi="宋体" w:cs="宋体"/>
          <w:sz w:val="21"/>
          <w:szCs w:val="21"/>
        </w:rPr>
        <w:instrText xml:space="preserve"> HYPERLINK "http://www.gsxt.gov.cn/" </w:instrText>
      </w:r>
      <w:r>
        <w:rPr>
          <w:rFonts w:hint="eastAsia" w:ascii="宋体" w:hAnsi="宋体" w:cs="宋体"/>
          <w:sz w:val="21"/>
          <w:szCs w:val="21"/>
        </w:rPr>
        <w:fldChar w:fldCharType="separate"/>
      </w:r>
      <w:r>
        <w:rPr>
          <w:rFonts w:hint="eastAsia" w:ascii="宋体" w:hAnsi="宋体" w:cs="宋体"/>
          <w:sz w:val="21"/>
          <w:szCs w:val="21"/>
        </w:rPr>
        <w:t>http://www.gsxt.gov.cn/</w:t>
      </w:r>
      <w:r>
        <w:rPr>
          <w:rFonts w:hint="eastAsia" w:ascii="宋体" w:hAnsi="宋体" w:cs="宋体"/>
          <w:sz w:val="21"/>
          <w:szCs w:val="21"/>
        </w:rPr>
        <w:fldChar w:fldCharType="end"/>
      </w:r>
      <w:r>
        <w:rPr>
          <w:rFonts w:hint="eastAsia" w:ascii="宋体" w:hAnsi="宋体" w:cs="宋体"/>
          <w:sz w:val="21"/>
          <w:szCs w:val="21"/>
        </w:rPr>
        <w:t>）中被列入严重违法失信企业名单、在“信用中国”网站（www.creditchina.gov.cn）中被列入失信被执行人名单，核查投标人信誉状况。若投标文件载明的信息与查询的信息不符，使得投标人的资格条件不符合招标文件规定的，以复核的信息为准，评标委员会应否决其投标。</w:t>
      </w:r>
    </w:p>
    <w:p>
      <w:pPr>
        <w:pStyle w:val="3"/>
        <w:adjustRightInd w:val="0"/>
        <w:snapToGrid w:val="0"/>
        <w:ind w:right="233" w:firstLine="420" w:firstLineChars="200"/>
        <w:rPr>
          <w:rFonts w:hint="eastAsia" w:ascii="宋体" w:hAnsi="宋体" w:cs="宋体"/>
          <w:sz w:val="21"/>
          <w:szCs w:val="21"/>
        </w:rPr>
      </w:pPr>
      <w:r>
        <w:rPr>
          <w:rFonts w:hint="eastAsia" w:ascii="宋体" w:hAnsi="宋体" w:cs="宋体"/>
          <w:sz w:val="21"/>
          <w:szCs w:val="21"/>
        </w:rPr>
        <w:t>3.6.2 评标委员会应对在评标过程中发现的投标人与投标人之间、投标人与招标人之间存在的串通投标的情形进行评审和认定。投标人存在串通投标、弄虚作假、行贿等违法行为的，评标委员会应否决其投标。</w:t>
      </w:r>
    </w:p>
    <w:p>
      <w:pPr>
        <w:pStyle w:val="3"/>
        <w:adjustRightInd w:val="0"/>
        <w:snapToGrid w:val="0"/>
        <w:ind w:right="2713" w:firstLine="420" w:firstLineChars="200"/>
        <w:rPr>
          <w:rFonts w:hint="eastAsia" w:ascii="宋体" w:hAnsi="宋体" w:cs="宋体"/>
          <w:sz w:val="21"/>
          <w:szCs w:val="21"/>
        </w:rPr>
      </w:pPr>
      <w:r>
        <w:rPr>
          <w:rFonts w:hint="eastAsia" w:ascii="宋体" w:hAnsi="宋体" w:cs="宋体"/>
          <w:sz w:val="21"/>
          <w:szCs w:val="21"/>
        </w:rPr>
        <w:t>（1）有下列情形之一的，属于投标人相互串通投标：</w:t>
      </w:r>
    </w:p>
    <w:p>
      <w:pPr>
        <w:pStyle w:val="3"/>
        <w:adjustRightInd w:val="0"/>
        <w:snapToGrid w:val="0"/>
        <w:ind w:right="262" w:firstLine="420" w:firstLineChars="200"/>
        <w:rPr>
          <w:rFonts w:hint="eastAsia" w:ascii="宋体" w:hAnsi="宋体" w:cs="宋体"/>
          <w:sz w:val="21"/>
          <w:szCs w:val="21"/>
        </w:rPr>
      </w:pPr>
      <w:r>
        <w:rPr>
          <w:rFonts w:hint="eastAsia" w:ascii="宋体" w:hAnsi="宋体" w:cs="宋体"/>
          <w:sz w:val="21"/>
          <w:szCs w:val="21"/>
        </w:rPr>
        <w:t>a.投标人之间协商投标报价等投标文件的实质性内容；</w:t>
      </w:r>
    </w:p>
    <w:p>
      <w:pPr>
        <w:pStyle w:val="3"/>
        <w:adjustRightInd w:val="0"/>
        <w:snapToGrid w:val="0"/>
        <w:ind w:right="1316" w:firstLine="420" w:firstLineChars="200"/>
        <w:rPr>
          <w:rFonts w:hint="eastAsia" w:ascii="宋体" w:hAnsi="宋体" w:cs="宋体"/>
          <w:sz w:val="21"/>
          <w:szCs w:val="21"/>
        </w:rPr>
      </w:pPr>
      <w:r>
        <w:rPr>
          <w:rFonts w:hint="eastAsia" w:ascii="宋体" w:hAnsi="宋体" w:cs="宋体"/>
          <w:sz w:val="21"/>
          <w:szCs w:val="21"/>
        </w:rPr>
        <w:t>b.投标人之间约定中标人；</w:t>
      </w:r>
    </w:p>
    <w:p>
      <w:pPr>
        <w:pStyle w:val="3"/>
        <w:adjustRightInd w:val="0"/>
        <w:snapToGrid w:val="0"/>
        <w:ind w:right="327" w:firstLine="420" w:firstLineChars="200"/>
        <w:rPr>
          <w:rFonts w:hint="eastAsia" w:ascii="宋体" w:hAnsi="宋体" w:cs="宋体"/>
          <w:sz w:val="21"/>
          <w:szCs w:val="21"/>
        </w:rPr>
      </w:pPr>
      <w:r>
        <w:rPr>
          <w:rFonts w:hint="eastAsia" w:ascii="宋体" w:hAnsi="宋体" w:cs="宋体"/>
          <w:sz w:val="21"/>
          <w:szCs w:val="21"/>
        </w:rPr>
        <w:t xml:space="preserve">c.投标人之间约定部分投标人放弃投标或中标； </w:t>
      </w:r>
    </w:p>
    <w:p>
      <w:pPr>
        <w:pStyle w:val="3"/>
        <w:adjustRightInd w:val="0"/>
        <w:snapToGrid w:val="0"/>
        <w:ind w:right="327" w:firstLine="420" w:firstLineChars="200"/>
        <w:rPr>
          <w:rFonts w:hint="eastAsia" w:ascii="宋体" w:hAnsi="宋体" w:cs="宋体"/>
          <w:sz w:val="21"/>
          <w:szCs w:val="21"/>
        </w:rPr>
      </w:pPr>
      <w:r>
        <w:rPr>
          <w:rFonts w:hint="eastAsia" w:ascii="宋体" w:hAnsi="宋体" w:cs="宋体"/>
          <w:sz w:val="21"/>
          <w:szCs w:val="21"/>
        </w:rPr>
        <w:t xml:space="preserve">d.属于同一集团、协会、商会等组织成员的投标人按照该组织要求协同投标； </w:t>
      </w:r>
    </w:p>
    <w:p>
      <w:pPr>
        <w:pStyle w:val="3"/>
        <w:adjustRightInd w:val="0"/>
        <w:snapToGrid w:val="0"/>
        <w:ind w:right="327" w:firstLine="420" w:firstLineChars="200"/>
        <w:rPr>
          <w:rFonts w:hint="eastAsia" w:ascii="宋体" w:hAnsi="宋体" w:cs="宋体"/>
          <w:sz w:val="21"/>
          <w:szCs w:val="21"/>
        </w:rPr>
      </w:pPr>
      <w:r>
        <w:rPr>
          <w:rFonts w:hint="eastAsia" w:ascii="宋体" w:hAnsi="宋体" w:cs="宋体"/>
          <w:sz w:val="21"/>
          <w:szCs w:val="21"/>
        </w:rPr>
        <w:t>e.投标人之间为谋取中标或排斥特定投标人而采取的其他联合行动 。</w:t>
      </w:r>
    </w:p>
    <w:p>
      <w:pPr>
        <w:pStyle w:val="3"/>
        <w:adjustRightInd w:val="0"/>
        <w:snapToGrid w:val="0"/>
        <w:ind w:right="1952" w:firstLine="420" w:firstLineChars="200"/>
        <w:rPr>
          <w:rFonts w:hint="eastAsia" w:ascii="宋体" w:hAnsi="宋体" w:cs="宋体"/>
          <w:sz w:val="21"/>
          <w:szCs w:val="21"/>
        </w:rPr>
      </w:pPr>
      <w:r>
        <w:rPr>
          <w:rFonts w:hint="eastAsia" w:ascii="宋体" w:hAnsi="宋体" w:cs="宋体"/>
          <w:sz w:val="21"/>
          <w:szCs w:val="21"/>
        </w:rPr>
        <w:t xml:space="preserve">（2）有下列情形之一的，视为投标人相互串通投标： </w:t>
      </w:r>
    </w:p>
    <w:p>
      <w:pPr>
        <w:pStyle w:val="3"/>
        <w:adjustRightInd w:val="0"/>
        <w:snapToGrid w:val="0"/>
        <w:ind w:right="1952" w:firstLine="420" w:firstLineChars="200"/>
        <w:rPr>
          <w:rFonts w:hint="eastAsia" w:ascii="宋体" w:hAnsi="宋体" w:cs="宋体"/>
          <w:sz w:val="21"/>
          <w:szCs w:val="21"/>
        </w:rPr>
      </w:pPr>
      <w:r>
        <w:rPr>
          <w:rFonts w:hint="eastAsia" w:ascii="宋体" w:hAnsi="宋体" w:cs="宋体"/>
          <w:sz w:val="21"/>
          <w:szCs w:val="21"/>
        </w:rPr>
        <w:t xml:space="preserve">a.不同投标人的投标文件由同一单位或个人编制； </w:t>
      </w:r>
    </w:p>
    <w:p>
      <w:pPr>
        <w:pStyle w:val="3"/>
        <w:adjustRightInd w:val="0"/>
        <w:snapToGrid w:val="0"/>
        <w:ind w:right="1952" w:firstLine="420" w:firstLineChars="200"/>
        <w:rPr>
          <w:rFonts w:hint="eastAsia" w:ascii="宋体" w:hAnsi="宋体" w:cs="宋体"/>
          <w:sz w:val="21"/>
          <w:szCs w:val="21"/>
        </w:rPr>
      </w:pPr>
      <w:r>
        <w:rPr>
          <w:rFonts w:hint="eastAsia" w:ascii="宋体" w:hAnsi="宋体" w:cs="宋体"/>
          <w:sz w:val="21"/>
          <w:szCs w:val="21"/>
        </w:rPr>
        <w:t xml:space="preserve">b.不同投标人委托同一单位或个人办理投标事宜； </w:t>
      </w:r>
    </w:p>
    <w:p>
      <w:pPr>
        <w:pStyle w:val="3"/>
        <w:adjustRightInd w:val="0"/>
        <w:snapToGrid w:val="0"/>
        <w:ind w:right="1952" w:firstLine="420" w:firstLineChars="200"/>
        <w:rPr>
          <w:rFonts w:hint="eastAsia" w:ascii="宋体" w:hAnsi="宋体" w:cs="宋体"/>
          <w:sz w:val="21"/>
          <w:szCs w:val="21"/>
        </w:rPr>
      </w:pPr>
      <w:r>
        <w:rPr>
          <w:rFonts w:hint="eastAsia" w:ascii="宋体" w:hAnsi="宋体" w:cs="宋体"/>
          <w:sz w:val="21"/>
          <w:szCs w:val="21"/>
        </w:rPr>
        <w:t>c.不同投标人的投标文件载明的项目管理成员为同一人；</w:t>
      </w:r>
    </w:p>
    <w:p>
      <w:pPr>
        <w:pStyle w:val="3"/>
        <w:adjustRightInd w:val="0"/>
        <w:snapToGrid w:val="0"/>
        <w:ind w:right="1952" w:firstLine="420" w:firstLineChars="200"/>
        <w:rPr>
          <w:rFonts w:hint="eastAsia" w:ascii="宋体" w:hAnsi="宋体" w:cs="宋体"/>
          <w:sz w:val="21"/>
          <w:szCs w:val="21"/>
        </w:rPr>
      </w:pPr>
      <w:r>
        <w:rPr>
          <w:rFonts w:hint="eastAsia" w:ascii="宋体" w:hAnsi="宋体" w:cs="宋体"/>
          <w:sz w:val="21"/>
          <w:szCs w:val="21"/>
        </w:rPr>
        <w:t xml:space="preserve">d.不同投标人的投标文件异常一致或投标报价呈规律性差异； </w:t>
      </w:r>
    </w:p>
    <w:p>
      <w:pPr>
        <w:pStyle w:val="3"/>
        <w:adjustRightInd w:val="0"/>
        <w:snapToGrid w:val="0"/>
        <w:ind w:right="1952" w:firstLine="420" w:firstLineChars="200"/>
        <w:rPr>
          <w:rFonts w:hint="eastAsia" w:ascii="宋体" w:hAnsi="宋体" w:cs="宋体"/>
          <w:sz w:val="21"/>
          <w:szCs w:val="21"/>
        </w:rPr>
      </w:pPr>
      <w:r>
        <w:rPr>
          <w:rFonts w:hint="eastAsia" w:ascii="宋体" w:hAnsi="宋体" w:cs="宋体"/>
          <w:sz w:val="21"/>
          <w:szCs w:val="21"/>
        </w:rPr>
        <w:t xml:space="preserve">e.不同投标人的投标文件相互混装； </w:t>
      </w:r>
    </w:p>
    <w:p>
      <w:pPr>
        <w:pStyle w:val="3"/>
        <w:adjustRightInd w:val="0"/>
        <w:snapToGrid w:val="0"/>
        <w:ind w:right="1952" w:firstLine="420" w:firstLineChars="200"/>
        <w:rPr>
          <w:rFonts w:hint="eastAsia" w:ascii="宋体" w:hAnsi="宋体" w:cs="宋体"/>
          <w:sz w:val="21"/>
          <w:szCs w:val="21"/>
        </w:rPr>
      </w:pPr>
      <w:r>
        <w:rPr>
          <w:rFonts w:hint="eastAsia" w:ascii="宋体" w:hAnsi="宋体" w:cs="宋体"/>
          <w:sz w:val="21"/>
          <w:szCs w:val="21"/>
        </w:rPr>
        <w:t>f.不同投标人的投标保证金从同一单位或个人的账户转出。</w:t>
      </w:r>
    </w:p>
    <w:p>
      <w:pPr>
        <w:pStyle w:val="3"/>
        <w:adjustRightInd w:val="0"/>
        <w:snapToGrid w:val="0"/>
        <w:ind w:right="1316" w:firstLine="420" w:firstLineChars="200"/>
        <w:rPr>
          <w:rFonts w:hint="eastAsia" w:ascii="宋体" w:hAnsi="宋体" w:cs="宋体"/>
          <w:sz w:val="21"/>
          <w:szCs w:val="21"/>
        </w:rPr>
      </w:pPr>
      <w:r>
        <w:rPr>
          <w:rFonts w:hint="eastAsia" w:ascii="宋体" w:hAnsi="宋体" w:cs="宋体"/>
          <w:sz w:val="21"/>
          <w:szCs w:val="21"/>
        </w:rPr>
        <w:t xml:space="preserve">（3）有下列情形之一的，属于招标人与投标人串通投标 ： </w:t>
      </w:r>
    </w:p>
    <w:p>
      <w:pPr>
        <w:pStyle w:val="3"/>
        <w:adjustRightInd w:val="0"/>
        <w:snapToGrid w:val="0"/>
        <w:ind w:right="1316" w:firstLine="420" w:firstLineChars="200"/>
        <w:rPr>
          <w:rFonts w:hint="eastAsia" w:ascii="宋体" w:hAnsi="宋体" w:cs="宋体"/>
          <w:sz w:val="21"/>
          <w:szCs w:val="21"/>
        </w:rPr>
      </w:pPr>
      <w:r>
        <w:rPr>
          <w:rFonts w:hint="eastAsia" w:ascii="宋体" w:hAnsi="宋体" w:cs="宋体"/>
          <w:sz w:val="21"/>
          <w:szCs w:val="21"/>
        </w:rPr>
        <w:t xml:space="preserve">a.招标人在开标前开启投标文件并将有关信息泄露给其他投标人； </w:t>
      </w:r>
    </w:p>
    <w:p>
      <w:pPr>
        <w:pStyle w:val="3"/>
        <w:adjustRightInd w:val="0"/>
        <w:snapToGrid w:val="0"/>
        <w:ind w:right="1316" w:firstLine="420" w:firstLineChars="200"/>
        <w:rPr>
          <w:rFonts w:hint="eastAsia" w:ascii="宋体" w:hAnsi="宋体" w:cs="宋体"/>
          <w:sz w:val="21"/>
          <w:szCs w:val="21"/>
        </w:rPr>
      </w:pPr>
      <w:r>
        <w:rPr>
          <w:rFonts w:hint="eastAsia" w:ascii="宋体" w:hAnsi="宋体" w:cs="宋体"/>
          <w:sz w:val="21"/>
          <w:szCs w:val="21"/>
        </w:rPr>
        <w:t xml:space="preserve">b.招标人直接或间接向投标人泄露标底、评标委员会成员等信息； </w:t>
      </w:r>
    </w:p>
    <w:p>
      <w:pPr>
        <w:pStyle w:val="3"/>
        <w:adjustRightInd w:val="0"/>
        <w:snapToGrid w:val="0"/>
        <w:ind w:right="1316" w:firstLine="420" w:firstLineChars="200"/>
        <w:rPr>
          <w:rFonts w:hint="eastAsia" w:ascii="宋体" w:hAnsi="宋体" w:cs="宋体"/>
          <w:sz w:val="21"/>
          <w:szCs w:val="21"/>
        </w:rPr>
      </w:pPr>
      <w:r>
        <w:rPr>
          <w:rFonts w:hint="eastAsia" w:ascii="宋体" w:hAnsi="宋体" w:cs="宋体"/>
          <w:sz w:val="21"/>
          <w:szCs w:val="21"/>
        </w:rPr>
        <w:t xml:space="preserve">c.招标人明示或暗示投标人压低或抬高投标报价； </w:t>
      </w:r>
    </w:p>
    <w:p>
      <w:pPr>
        <w:pStyle w:val="3"/>
        <w:adjustRightInd w:val="0"/>
        <w:snapToGrid w:val="0"/>
        <w:ind w:right="1316" w:firstLine="420" w:firstLineChars="200"/>
        <w:rPr>
          <w:rFonts w:hint="eastAsia" w:ascii="宋体" w:hAnsi="宋体" w:cs="宋体"/>
          <w:sz w:val="21"/>
          <w:szCs w:val="21"/>
        </w:rPr>
      </w:pPr>
      <w:r>
        <w:rPr>
          <w:rFonts w:hint="eastAsia" w:ascii="宋体" w:hAnsi="宋体" w:cs="宋体"/>
          <w:sz w:val="21"/>
          <w:szCs w:val="21"/>
        </w:rPr>
        <w:t xml:space="preserve">d.招标人授意投标人撤换、修改投标文件； </w:t>
      </w:r>
    </w:p>
    <w:p>
      <w:pPr>
        <w:pStyle w:val="3"/>
        <w:adjustRightInd w:val="0"/>
        <w:snapToGrid w:val="0"/>
        <w:ind w:right="1316" w:firstLine="420" w:firstLineChars="200"/>
        <w:rPr>
          <w:rFonts w:hint="eastAsia" w:ascii="宋体" w:hAnsi="宋体" w:cs="宋体"/>
          <w:sz w:val="21"/>
          <w:szCs w:val="21"/>
        </w:rPr>
      </w:pPr>
      <w:r>
        <w:rPr>
          <w:rFonts w:hint="eastAsia" w:ascii="宋体" w:hAnsi="宋体" w:cs="宋体"/>
          <w:sz w:val="21"/>
          <w:szCs w:val="21"/>
        </w:rPr>
        <w:t xml:space="preserve">e.招标人明示或暗示投标人为特定投标人中标提供方便； </w:t>
      </w:r>
    </w:p>
    <w:p>
      <w:pPr>
        <w:pStyle w:val="3"/>
        <w:adjustRightInd w:val="0"/>
        <w:snapToGrid w:val="0"/>
        <w:ind w:right="1316" w:firstLine="420" w:firstLineChars="200"/>
        <w:rPr>
          <w:rFonts w:hint="eastAsia" w:ascii="宋体" w:hAnsi="宋体" w:cs="宋体"/>
          <w:sz w:val="21"/>
          <w:szCs w:val="21"/>
        </w:rPr>
      </w:pPr>
      <w:r>
        <w:rPr>
          <w:rFonts w:hint="eastAsia" w:ascii="宋体" w:hAnsi="宋体" w:cs="宋体"/>
          <w:sz w:val="21"/>
          <w:szCs w:val="21"/>
        </w:rPr>
        <w:t>f.招标人与投标人为谋求特定投标人中标而采取的其他串通行为 。</w:t>
      </w:r>
    </w:p>
    <w:p>
      <w:pPr>
        <w:pStyle w:val="3"/>
        <w:adjustRightInd w:val="0"/>
        <w:snapToGrid w:val="0"/>
        <w:ind w:right="1316" w:firstLine="420" w:firstLineChars="200"/>
        <w:rPr>
          <w:rFonts w:hint="eastAsia" w:ascii="宋体" w:hAnsi="宋体" w:cs="宋体"/>
          <w:sz w:val="21"/>
          <w:szCs w:val="21"/>
        </w:rPr>
      </w:pPr>
      <w:r>
        <w:rPr>
          <w:rFonts w:hint="eastAsia" w:ascii="宋体" w:hAnsi="宋体" w:cs="宋体"/>
          <w:sz w:val="21"/>
          <w:szCs w:val="21"/>
        </w:rPr>
        <w:t xml:space="preserve">（4）投标人有下列情形之一的，属于弄虚作假的行为 ： </w:t>
      </w:r>
    </w:p>
    <w:p>
      <w:pPr>
        <w:pStyle w:val="3"/>
        <w:adjustRightInd w:val="0"/>
        <w:snapToGrid w:val="0"/>
        <w:ind w:right="1316" w:firstLine="420" w:firstLineChars="200"/>
        <w:rPr>
          <w:rFonts w:hint="eastAsia" w:ascii="宋体" w:hAnsi="宋体" w:cs="宋体"/>
          <w:sz w:val="21"/>
          <w:szCs w:val="21"/>
        </w:rPr>
      </w:pPr>
      <w:r>
        <w:rPr>
          <w:rFonts w:hint="eastAsia" w:ascii="宋体" w:hAnsi="宋体" w:cs="宋体"/>
          <w:sz w:val="21"/>
          <w:szCs w:val="21"/>
        </w:rPr>
        <w:t xml:space="preserve">a.使用通过受让或租借等方式获取的资格、资质证书投标； </w:t>
      </w:r>
    </w:p>
    <w:p>
      <w:pPr>
        <w:pStyle w:val="3"/>
        <w:adjustRightInd w:val="0"/>
        <w:snapToGrid w:val="0"/>
        <w:ind w:right="1316" w:firstLine="420" w:firstLineChars="200"/>
        <w:rPr>
          <w:rFonts w:hint="eastAsia" w:ascii="宋体" w:hAnsi="宋体" w:cs="宋体"/>
          <w:sz w:val="21"/>
          <w:szCs w:val="21"/>
        </w:rPr>
      </w:pPr>
      <w:r>
        <w:rPr>
          <w:rFonts w:hint="eastAsia" w:ascii="宋体" w:hAnsi="宋体" w:cs="宋体"/>
          <w:sz w:val="21"/>
          <w:szCs w:val="21"/>
        </w:rPr>
        <w:t>b.使用伪造、变造的许可证件；</w:t>
      </w:r>
    </w:p>
    <w:p>
      <w:pPr>
        <w:pStyle w:val="3"/>
        <w:adjustRightInd w:val="0"/>
        <w:snapToGrid w:val="0"/>
        <w:ind w:right="1316" w:firstLine="420" w:firstLineChars="200"/>
        <w:rPr>
          <w:rFonts w:hint="eastAsia" w:ascii="宋体" w:hAnsi="宋体" w:cs="宋体"/>
          <w:sz w:val="21"/>
          <w:szCs w:val="21"/>
        </w:rPr>
      </w:pPr>
      <w:r>
        <w:rPr>
          <w:rFonts w:hint="eastAsia" w:ascii="宋体" w:hAnsi="宋体" w:cs="宋体"/>
          <w:sz w:val="21"/>
          <w:szCs w:val="21"/>
        </w:rPr>
        <w:t>c.提供虚假的业绩；</w:t>
      </w:r>
    </w:p>
    <w:p>
      <w:pPr>
        <w:pStyle w:val="3"/>
        <w:adjustRightInd w:val="0"/>
        <w:snapToGrid w:val="0"/>
        <w:ind w:right="1316" w:firstLine="420" w:firstLineChars="200"/>
        <w:rPr>
          <w:rFonts w:hint="eastAsia" w:ascii="宋体" w:hAnsi="宋体" w:cs="宋体"/>
          <w:sz w:val="21"/>
          <w:szCs w:val="21"/>
        </w:rPr>
      </w:pPr>
      <w:r>
        <w:rPr>
          <w:rFonts w:hint="eastAsia" w:ascii="宋体" w:hAnsi="宋体" w:cs="宋体"/>
          <w:sz w:val="21"/>
          <w:szCs w:val="21"/>
        </w:rPr>
        <w:t>d.提供虚假的项目负责人或主要技术人员简历、劳动关系证明；</w:t>
      </w:r>
    </w:p>
    <w:p>
      <w:pPr>
        <w:pStyle w:val="3"/>
        <w:adjustRightInd w:val="0"/>
        <w:snapToGrid w:val="0"/>
        <w:ind w:right="1316" w:firstLine="420" w:firstLineChars="200"/>
        <w:rPr>
          <w:rFonts w:hint="eastAsia" w:ascii="宋体" w:hAnsi="宋体" w:cs="宋体"/>
          <w:sz w:val="21"/>
          <w:szCs w:val="21"/>
        </w:rPr>
      </w:pPr>
      <w:r>
        <w:rPr>
          <w:rFonts w:hint="eastAsia" w:ascii="宋体" w:hAnsi="宋体" w:cs="宋体"/>
          <w:sz w:val="21"/>
          <w:szCs w:val="21"/>
        </w:rPr>
        <w:t>e.提供虚假的信用状况；</w:t>
      </w:r>
    </w:p>
    <w:p>
      <w:pPr>
        <w:pStyle w:val="3"/>
        <w:adjustRightInd w:val="0"/>
        <w:snapToGrid w:val="0"/>
        <w:ind w:right="1316" w:firstLine="420" w:firstLineChars="200"/>
        <w:rPr>
          <w:rFonts w:hint="eastAsia" w:ascii="宋体" w:hAnsi="宋体" w:cs="宋体"/>
          <w:sz w:val="21"/>
          <w:szCs w:val="21"/>
        </w:rPr>
      </w:pPr>
      <w:r>
        <w:rPr>
          <w:rFonts w:hint="eastAsia" w:ascii="宋体" w:hAnsi="宋体" w:cs="宋体"/>
          <w:sz w:val="21"/>
          <w:szCs w:val="21"/>
        </w:rPr>
        <w:t>f.其他弄虚作假的行为。</w:t>
      </w:r>
    </w:p>
    <w:p>
      <w:pPr>
        <w:pStyle w:val="3"/>
        <w:adjustRightInd w:val="0"/>
        <w:snapToGrid w:val="0"/>
        <w:ind w:right="1316"/>
        <w:rPr>
          <w:rFonts w:hint="eastAsia" w:ascii="宋体" w:hAnsi="宋体" w:cs="宋体"/>
          <w:b/>
          <w:bCs/>
          <w:sz w:val="21"/>
          <w:szCs w:val="21"/>
        </w:rPr>
      </w:pPr>
      <w:r>
        <w:rPr>
          <w:rFonts w:hint="eastAsia" w:ascii="宋体" w:hAnsi="宋体" w:cs="宋体"/>
          <w:b/>
          <w:bCs/>
          <w:sz w:val="21"/>
          <w:szCs w:val="21"/>
        </w:rPr>
        <w:t>3.7 投标文件的澄清和说明</w:t>
      </w:r>
    </w:p>
    <w:p>
      <w:pPr>
        <w:pStyle w:val="3"/>
        <w:adjustRightInd w:val="0"/>
        <w:snapToGrid w:val="0"/>
        <w:ind w:right="298" w:firstLine="420" w:firstLineChars="200"/>
        <w:rPr>
          <w:rFonts w:hint="eastAsia" w:ascii="宋体" w:hAnsi="宋体" w:cs="宋体"/>
          <w:sz w:val="21"/>
          <w:szCs w:val="21"/>
        </w:rPr>
      </w:pPr>
      <w:r>
        <w:rPr>
          <w:rFonts w:hint="eastAsia" w:ascii="宋体" w:hAnsi="宋体" w:cs="宋体"/>
          <w:sz w:val="21"/>
          <w:szCs w:val="21"/>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pStyle w:val="3"/>
        <w:adjustRightInd w:val="0"/>
        <w:snapToGrid w:val="0"/>
        <w:ind w:right="237" w:firstLine="420" w:firstLineChars="200"/>
        <w:rPr>
          <w:rFonts w:hint="eastAsia" w:ascii="宋体" w:hAnsi="宋体" w:cs="宋体"/>
          <w:sz w:val="21"/>
          <w:szCs w:val="21"/>
        </w:rPr>
      </w:pPr>
      <w:r>
        <w:rPr>
          <w:rFonts w:hint="eastAsia" w:ascii="宋体" w:hAnsi="宋体" w:cs="宋体"/>
          <w:sz w:val="21"/>
          <w:szCs w:val="21"/>
        </w:rPr>
        <w:t>3.7.2 澄清和说明不得超出投标文件的范围或改变投标文件的实质性内容（算术性错误的修正除外）。投标人的书面澄清、说明属于投标文件的组成部分。</w:t>
      </w:r>
    </w:p>
    <w:p>
      <w:pPr>
        <w:pStyle w:val="3"/>
        <w:adjustRightInd w:val="0"/>
        <w:snapToGrid w:val="0"/>
        <w:ind w:firstLine="420" w:firstLineChars="200"/>
        <w:rPr>
          <w:rFonts w:hint="eastAsia" w:ascii="宋体" w:hAnsi="宋体" w:cs="宋体"/>
          <w:sz w:val="21"/>
          <w:szCs w:val="21"/>
        </w:rPr>
      </w:pPr>
      <w:r>
        <w:rPr>
          <w:rFonts w:hint="eastAsia" w:ascii="宋体" w:hAnsi="宋体" w:cs="宋体"/>
          <w:sz w:val="21"/>
          <w:szCs w:val="21"/>
        </w:rPr>
        <w:t>3.7.3 评标委员会不得暗示或诱导投标人作出澄清、说明，对投标人提交的澄清、说明有疑问的，可以要求投标人进一步澄清或说明，直至满足评标委员会的要求。</w:t>
      </w:r>
    </w:p>
    <w:p>
      <w:pPr>
        <w:pStyle w:val="3"/>
        <w:adjustRightInd w:val="0"/>
        <w:snapToGrid w:val="0"/>
        <w:ind w:right="16" w:firstLine="420" w:firstLineChars="200"/>
        <w:rPr>
          <w:rFonts w:hint="eastAsia" w:ascii="宋体" w:hAnsi="宋体" w:cs="宋体"/>
          <w:sz w:val="21"/>
          <w:szCs w:val="21"/>
        </w:rPr>
      </w:pPr>
      <w:r>
        <w:rPr>
          <w:rFonts w:hint="eastAsia" w:ascii="宋体" w:hAnsi="宋体" w:cs="宋体"/>
          <w:sz w:val="21"/>
          <w:szCs w:val="21"/>
        </w:rPr>
        <w:t>3.7.4 凡超出招标文件规定的或给委托人带来未曾要求的利益的变化、偏差或其他因素在评标时不予考虑 。</w:t>
      </w:r>
    </w:p>
    <w:p>
      <w:pPr>
        <w:pStyle w:val="3"/>
        <w:adjustRightInd w:val="0"/>
        <w:snapToGrid w:val="0"/>
        <w:ind w:right="1316"/>
        <w:rPr>
          <w:rFonts w:hint="eastAsia" w:ascii="宋体" w:hAnsi="宋体" w:cs="宋体"/>
          <w:b/>
          <w:bCs/>
          <w:sz w:val="21"/>
          <w:szCs w:val="21"/>
          <w:lang w:val="en-US" w:eastAsia="zh-CN"/>
        </w:rPr>
      </w:pPr>
      <w:r>
        <w:rPr>
          <w:rFonts w:hint="eastAsia" w:ascii="宋体" w:hAnsi="宋体" w:cs="宋体"/>
          <w:b/>
          <w:bCs/>
          <w:sz w:val="21"/>
          <w:szCs w:val="21"/>
        </w:rPr>
        <w:t xml:space="preserve">3.8 </w:t>
      </w:r>
      <w:r>
        <w:rPr>
          <w:rFonts w:hint="eastAsia" w:ascii="宋体" w:hAnsi="宋体" w:cs="宋体"/>
          <w:b/>
          <w:bCs/>
          <w:sz w:val="21"/>
          <w:szCs w:val="21"/>
          <w:lang w:val="en-US" w:eastAsia="zh-CN"/>
        </w:rPr>
        <w:t>废标条款</w:t>
      </w:r>
    </w:p>
    <w:p>
      <w:pPr>
        <w:pStyle w:val="3"/>
        <w:adjustRightInd w:val="0"/>
        <w:snapToGrid w:val="0"/>
        <w:ind w:right="298"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投标文件按照招标文件规定的格式、内容和要求编制，字迹清晰可辨;</w:t>
      </w:r>
    </w:p>
    <w:p>
      <w:pPr>
        <w:pStyle w:val="3"/>
        <w:adjustRightInd w:val="0"/>
        <w:snapToGrid w:val="0"/>
        <w:ind w:left="210" w:leftChars="100" w:right="298" w:firstLine="210" w:firstLineChars="1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招标文件“投标文件格式”中明确要求投标人法定代表人或其委托代理人签字之处，必须签名;明确要求投标人加盖公章之处，必须加盖公章;</w:t>
      </w:r>
    </w:p>
    <w:p>
      <w:pPr>
        <w:pStyle w:val="3"/>
        <w:adjustRightInd w:val="0"/>
        <w:snapToGrid w:val="0"/>
        <w:ind w:right="298"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投标人按照招标文件规定的形式、时限和要求提供了投标保证金;</w:t>
      </w:r>
    </w:p>
    <w:p>
      <w:pPr>
        <w:pStyle w:val="3"/>
        <w:adjustRightInd w:val="0"/>
        <w:snapToGrid w:val="0"/>
        <w:ind w:right="298"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投标人按照招标文件规定的格式提供了法定代表人身份证明，法定代表人在法定代表人身份证明上签名:</w:t>
      </w:r>
    </w:p>
    <w:p>
      <w:pPr>
        <w:pStyle w:val="3"/>
        <w:adjustRightInd w:val="0"/>
        <w:snapToGrid w:val="0"/>
        <w:ind w:right="298" w:firstLine="420" w:firstLineChars="20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投标人法定代表人的授权代理人，需提交附有法定代表人身份证明的授权书，授权人和被授权人均在授权书上签名;</w:t>
      </w:r>
    </w:p>
    <w:p>
      <w:pPr>
        <w:pStyle w:val="3"/>
        <w:adjustRightInd w:val="0"/>
        <w:snapToGrid w:val="0"/>
        <w:ind w:right="298" w:firstLine="420" w:firstLineChars="20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未对本项目试验检测范围、标准或实施等方面提出重大改变;服务时间符合招标文件要求;</w:t>
      </w:r>
    </w:p>
    <w:p>
      <w:pPr>
        <w:pStyle w:val="3"/>
        <w:adjustRightInd w:val="0"/>
        <w:snapToGrid w:val="0"/>
        <w:ind w:right="298"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投标人未以他人名义投标、未与他人串通投标、未以行贿手段谋取中标，以及未弄虚作假;</w:t>
      </w:r>
    </w:p>
    <w:p>
      <w:pPr>
        <w:pStyle w:val="3"/>
        <w:adjustRightInd w:val="0"/>
        <w:snapToGrid w:val="0"/>
        <w:ind w:right="298" w:firstLine="420" w:firstLineChars="200"/>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eastAsia="zh-CN"/>
        </w:rPr>
        <w:t>、</w:t>
      </w:r>
      <w:r>
        <w:rPr>
          <w:rFonts w:hint="eastAsia" w:ascii="宋体" w:hAnsi="宋体" w:eastAsia="宋体" w:cs="宋体"/>
          <w:sz w:val="21"/>
          <w:szCs w:val="21"/>
        </w:rPr>
        <w:t>商务技术文件中未出现报价或与报价相关的内容;</w:t>
      </w:r>
    </w:p>
    <w:p>
      <w:pPr>
        <w:pStyle w:val="3"/>
        <w:adjustRightInd w:val="0"/>
        <w:snapToGrid w:val="0"/>
        <w:ind w:right="298" w:firstLine="420" w:firstLineChars="200"/>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lang w:eastAsia="zh-CN"/>
        </w:rPr>
        <w:t>、</w:t>
      </w:r>
      <w:r>
        <w:rPr>
          <w:rFonts w:hint="eastAsia" w:ascii="宋体" w:hAnsi="宋体" w:eastAsia="宋体" w:cs="宋体"/>
          <w:sz w:val="21"/>
          <w:szCs w:val="21"/>
        </w:rPr>
        <w:t>投标文件未附有招标人不能接受的其他条件;</w:t>
      </w:r>
    </w:p>
    <w:p>
      <w:pPr>
        <w:pStyle w:val="3"/>
        <w:adjustRightInd w:val="0"/>
        <w:snapToGrid w:val="0"/>
        <w:ind w:right="298" w:firstLine="420" w:firstLineChars="200"/>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lang w:eastAsia="zh-CN"/>
        </w:rPr>
        <w:t>、</w:t>
      </w:r>
      <w:r>
        <w:rPr>
          <w:rFonts w:hint="eastAsia" w:ascii="宋体" w:hAnsi="宋体" w:eastAsia="宋体" w:cs="宋体"/>
          <w:sz w:val="21"/>
          <w:szCs w:val="21"/>
        </w:rPr>
        <w:t>报价书按招标文件规定签字、盖章齐全，填报了投标价;</w:t>
      </w:r>
    </w:p>
    <w:p>
      <w:pPr>
        <w:pStyle w:val="3"/>
        <w:adjustRightInd w:val="0"/>
        <w:snapToGrid w:val="0"/>
        <w:ind w:right="298" w:firstLine="420" w:firstLineChars="200"/>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一份</w:t>
      </w:r>
      <w:r>
        <w:rPr>
          <w:rFonts w:hint="eastAsia" w:ascii="宋体" w:hAnsi="宋体" w:eastAsia="宋体" w:cs="宋体"/>
          <w:sz w:val="21"/>
          <w:szCs w:val="21"/>
        </w:rPr>
        <w:t>投标文件应只有一个投标报价，不得提交选择性报价;</w:t>
      </w:r>
    </w:p>
    <w:p>
      <w:pPr>
        <w:pStyle w:val="3"/>
        <w:adjustRightInd w:val="0"/>
        <w:snapToGrid w:val="0"/>
        <w:ind w:right="298" w:firstLine="420" w:firstLineChars="200"/>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w:t>
      </w:r>
      <w:r>
        <w:rPr>
          <w:rFonts w:hint="eastAsia" w:ascii="宋体" w:hAnsi="宋体" w:eastAsia="宋体" w:cs="宋体"/>
          <w:sz w:val="21"/>
          <w:szCs w:val="21"/>
        </w:rPr>
        <w:t>标报价未高于投标控制价上限;</w:t>
      </w:r>
    </w:p>
    <w:p>
      <w:pPr>
        <w:pStyle w:val="3"/>
        <w:adjustRightInd w:val="0"/>
        <w:snapToGrid w:val="0"/>
        <w:ind w:right="298" w:firstLine="420" w:firstLineChars="200"/>
        <w:rPr>
          <w:rFonts w:hint="eastAsia" w:ascii="宋体" w:hAnsi="宋体" w:eastAsia="宋体" w:cs="宋体"/>
          <w:sz w:val="21"/>
          <w:szCs w:val="21"/>
        </w:rPr>
      </w:pPr>
      <w:r>
        <w:rPr>
          <w:rFonts w:hint="eastAsia" w:ascii="宋体" w:hAnsi="宋体" w:eastAsia="宋体" w:cs="宋体"/>
          <w:sz w:val="21"/>
          <w:szCs w:val="21"/>
        </w:rPr>
        <w:t>13</w:t>
      </w:r>
      <w:r>
        <w:rPr>
          <w:rFonts w:hint="eastAsia" w:ascii="宋体" w:hAnsi="宋体" w:eastAsia="宋体" w:cs="宋体"/>
          <w:sz w:val="21"/>
          <w:szCs w:val="21"/>
          <w:lang w:eastAsia="zh-CN"/>
        </w:rPr>
        <w:t>、投标文件不应附有招标人不能接受的条件；</w:t>
      </w:r>
    </w:p>
    <w:p>
      <w:pPr>
        <w:pStyle w:val="3"/>
        <w:adjustRightInd w:val="0"/>
        <w:snapToGrid w:val="0"/>
        <w:ind w:right="298" w:firstLine="420" w:firstLineChars="200"/>
        <w:rPr>
          <w:rFonts w:hint="eastAsia" w:ascii="宋体" w:hAnsi="宋体" w:eastAsia="宋体" w:cs="宋体"/>
          <w:sz w:val="21"/>
          <w:szCs w:val="21"/>
        </w:rPr>
      </w:pPr>
      <w:r>
        <w:rPr>
          <w:rFonts w:hint="eastAsia" w:ascii="宋体" w:hAnsi="宋体" w:eastAsia="宋体" w:cs="宋体"/>
          <w:sz w:val="21"/>
          <w:szCs w:val="21"/>
        </w:rPr>
        <w:t>14</w:t>
      </w:r>
      <w:r>
        <w:rPr>
          <w:rFonts w:hint="eastAsia" w:ascii="宋体" w:hAnsi="宋体" w:eastAsia="宋体" w:cs="宋体"/>
          <w:sz w:val="21"/>
          <w:szCs w:val="21"/>
          <w:lang w:eastAsia="zh-CN"/>
        </w:rPr>
        <w:t>、</w:t>
      </w:r>
      <w:r>
        <w:rPr>
          <w:rFonts w:hint="eastAsia" w:ascii="宋体" w:hAnsi="宋体" w:eastAsia="宋体" w:cs="宋体"/>
          <w:sz w:val="21"/>
          <w:szCs w:val="21"/>
        </w:rPr>
        <w:t>投标人具备有效的营业执照或事业单位法人证书;资质符合招标文件规定;</w:t>
      </w:r>
    </w:p>
    <w:p>
      <w:pPr>
        <w:pStyle w:val="3"/>
        <w:adjustRightInd w:val="0"/>
        <w:snapToGrid w:val="0"/>
        <w:ind w:right="298" w:firstLine="420" w:firstLineChars="200"/>
        <w:rPr>
          <w:rFonts w:hint="eastAsia" w:ascii="宋体" w:hAnsi="宋体" w:eastAsia="宋体" w:cs="宋体"/>
          <w:sz w:val="21"/>
          <w:szCs w:val="21"/>
        </w:rPr>
      </w:pPr>
      <w:r>
        <w:rPr>
          <w:rFonts w:hint="eastAsia" w:ascii="宋体" w:hAnsi="宋体" w:eastAsia="宋体" w:cs="宋体"/>
          <w:sz w:val="21"/>
          <w:szCs w:val="21"/>
        </w:rPr>
        <w:t>15</w:t>
      </w:r>
      <w:r>
        <w:rPr>
          <w:rFonts w:hint="eastAsia" w:ascii="宋体" w:hAnsi="宋体" w:eastAsia="宋体" w:cs="宋体"/>
          <w:sz w:val="21"/>
          <w:szCs w:val="21"/>
          <w:lang w:eastAsia="zh-CN"/>
        </w:rPr>
        <w:t>、</w:t>
      </w:r>
      <w:r>
        <w:rPr>
          <w:rFonts w:hint="eastAsia" w:ascii="宋体" w:hAnsi="宋体" w:eastAsia="宋体" w:cs="宋体"/>
          <w:sz w:val="21"/>
          <w:szCs w:val="21"/>
        </w:rPr>
        <w:t>投标人的业绩要求符合招标文件规定;</w:t>
      </w:r>
    </w:p>
    <w:p>
      <w:pPr>
        <w:pStyle w:val="3"/>
        <w:adjustRightInd w:val="0"/>
        <w:snapToGrid w:val="0"/>
        <w:ind w:right="298" w:firstLine="420" w:firstLineChars="200"/>
        <w:rPr>
          <w:rFonts w:hint="eastAsia" w:ascii="宋体" w:hAnsi="宋体" w:eastAsia="宋体" w:cs="宋体"/>
          <w:sz w:val="21"/>
          <w:szCs w:val="21"/>
        </w:rPr>
      </w:pPr>
      <w:r>
        <w:rPr>
          <w:rFonts w:hint="eastAsia" w:ascii="宋体" w:hAnsi="宋体" w:eastAsia="宋体" w:cs="宋体"/>
          <w:sz w:val="21"/>
          <w:szCs w:val="21"/>
        </w:rPr>
        <w:t>16</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w:t>
      </w:r>
      <w:r>
        <w:rPr>
          <w:rFonts w:hint="eastAsia" w:ascii="宋体" w:hAnsi="宋体" w:eastAsia="宋体" w:cs="宋体"/>
          <w:sz w:val="21"/>
          <w:szCs w:val="21"/>
        </w:rPr>
        <w:t>人的信誉符合招标文件规定;</w:t>
      </w:r>
    </w:p>
    <w:p>
      <w:pPr>
        <w:pStyle w:val="3"/>
        <w:adjustRightInd w:val="0"/>
        <w:snapToGrid w:val="0"/>
        <w:ind w:right="298" w:firstLine="420" w:firstLineChars="200"/>
        <w:rPr>
          <w:rFonts w:hint="eastAsia" w:ascii="宋体" w:hAnsi="宋体" w:eastAsia="宋体" w:cs="宋体"/>
          <w:sz w:val="21"/>
          <w:szCs w:val="21"/>
        </w:rPr>
      </w:pPr>
      <w:r>
        <w:rPr>
          <w:rFonts w:hint="eastAsia" w:ascii="宋体" w:hAnsi="宋体" w:eastAsia="宋体" w:cs="宋体"/>
          <w:sz w:val="21"/>
          <w:szCs w:val="21"/>
        </w:rPr>
        <w:t>17</w:t>
      </w:r>
      <w:r>
        <w:rPr>
          <w:rFonts w:hint="eastAsia" w:ascii="宋体" w:hAnsi="宋体" w:eastAsia="宋体" w:cs="宋体"/>
          <w:sz w:val="21"/>
          <w:szCs w:val="21"/>
          <w:lang w:eastAsia="zh-CN"/>
        </w:rPr>
        <w:t>、</w:t>
      </w:r>
      <w:r>
        <w:rPr>
          <w:rFonts w:hint="eastAsia" w:ascii="宋体" w:hAnsi="宋体" w:eastAsia="宋体" w:cs="宋体"/>
          <w:sz w:val="21"/>
          <w:szCs w:val="21"/>
        </w:rPr>
        <w:t>投标人的主要管理及技术人员资格符合招标文件规定;</w:t>
      </w:r>
    </w:p>
    <w:p>
      <w:pPr>
        <w:pStyle w:val="3"/>
        <w:adjustRightInd w:val="0"/>
        <w:snapToGrid w:val="0"/>
        <w:ind w:right="298" w:firstLine="420" w:firstLineChars="200"/>
        <w:rPr>
          <w:rFonts w:hint="eastAsia" w:ascii="宋体" w:hAnsi="宋体" w:eastAsia="宋体" w:cs="宋体"/>
          <w:sz w:val="21"/>
          <w:szCs w:val="21"/>
        </w:rPr>
      </w:pPr>
      <w:r>
        <w:rPr>
          <w:rFonts w:hint="eastAsia" w:ascii="宋体" w:hAnsi="宋体" w:eastAsia="宋体" w:cs="宋体"/>
          <w:sz w:val="21"/>
          <w:szCs w:val="21"/>
        </w:rPr>
        <w:t>18</w:t>
      </w:r>
      <w:r>
        <w:rPr>
          <w:rFonts w:hint="eastAsia" w:ascii="宋体" w:hAnsi="宋体" w:eastAsia="宋体" w:cs="宋体"/>
          <w:sz w:val="21"/>
          <w:szCs w:val="21"/>
          <w:lang w:eastAsia="zh-CN"/>
        </w:rPr>
        <w:t>、</w:t>
      </w:r>
      <w:r>
        <w:rPr>
          <w:rFonts w:hint="eastAsia" w:ascii="宋体" w:hAnsi="宋体" w:eastAsia="宋体" w:cs="宋体"/>
          <w:sz w:val="21"/>
          <w:szCs w:val="21"/>
        </w:rPr>
        <w:t>投标人的试验检测仪器、设备应符合招标文件规定;</w:t>
      </w:r>
    </w:p>
    <w:p>
      <w:pPr>
        <w:pStyle w:val="3"/>
        <w:adjustRightInd w:val="0"/>
        <w:snapToGrid w:val="0"/>
        <w:ind w:right="298" w:firstLine="420" w:firstLineChars="200"/>
        <w:rPr>
          <w:rFonts w:hint="eastAsia" w:ascii="宋体" w:hAnsi="宋体" w:eastAsia="宋体" w:cs="宋体"/>
          <w:sz w:val="21"/>
          <w:szCs w:val="21"/>
        </w:rPr>
      </w:pPr>
      <w:r>
        <w:rPr>
          <w:rFonts w:hint="eastAsia" w:ascii="宋体" w:hAnsi="宋体" w:eastAsia="宋体" w:cs="宋体"/>
          <w:sz w:val="21"/>
          <w:szCs w:val="21"/>
        </w:rPr>
        <w:t>19</w:t>
      </w:r>
      <w:r>
        <w:rPr>
          <w:rFonts w:hint="eastAsia" w:ascii="宋体" w:hAnsi="宋体" w:eastAsia="宋体" w:cs="宋体"/>
          <w:sz w:val="21"/>
          <w:szCs w:val="21"/>
          <w:lang w:eastAsia="zh-CN"/>
        </w:rPr>
        <w:t>、</w:t>
      </w:r>
      <w:r>
        <w:rPr>
          <w:rFonts w:hint="eastAsia" w:ascii="宋体" w:hAnsi="宋体" w:eastAsia="宋体" w:cs="宋体"/>
          <w:sz w:val="21"/>
          <w:szCs w:val="21"/>
        </w:rPr>
        <w:t>投标人的其它要求符合招标文件规定;</w:t>
      </w:r>
    </w:p>
    <w:p>
      <w:pPr>
        <w:pStyle w:val="3"/>
        <w:adjustRightInd w:val="0"/>
        <w:snapToGrid w:val="0"/>
        <w:ind w:right="298" w:firstLine="420" w:firstLineChars="200"/>
        <w:rPr>
          <w:rFonts w:hint="default" w:ascii="宋体" w:hAnsi="宋体" w:cs="宋体"/>
          <w:b/>
          <w:bCs/>
          <w:sz w:val="21"/>
          <w:szCs w:val="21"/>
          <w:lang w:val="en-US" w:eastAsia="zh-CN"/>
        </w:rPr>
      </w:pPr>
      <w:r>
        <w:rPr>
          <w:rFonts w:hint="eastAsia" w:ascii="宋体" w:hAnsi="宋体" w:eastAsia="宋体" w:cs="宋体"/>
          <w:sz w:val="21"/>
          <w:szCs w:val="21"/>
        </w:rPr>
        <w:t>20</w:t>
      </w:r>
      <w:r>
        <w:rPr>
          <w:rFonts w:hint="eastAsia" w:ascii="宋体" w:hAnsi="宋体" w:eastAsia="宋体" w:cs="宋体"/>
          <w:sz w:val="21"/>
          <w:szCs w:val="21"/>
          <w:lang w:eastAsia="zh-CN"/>
        </w:rPr>
        <w:t>、</w:t>
      </w:r>
      <w:r>
        <w:rPr>
          <w:rFonts w:hint="eastAsia" w:ascii="宋体" w:hAnsi="宋体" w:eastAsia="宋体" w:cs="宋体"/>
          <w:sz w:val="21"/>
          <w:szCs w:val="21"/>
        </w:rPr>
        <w:t>不存在第二章“投标人须知”第1.4.3项规定的任何一种情形。</w:t>
      </w:r>
    </w:p>
    <w:p>
      <w:pPr>
        <w:pStyle w:val="3"/>
        <w:adjustRightInd w:val="0"/>
        <w:snapToGrid w:val="0"/>
        <w:ind w:right="1316"/>
        <w:rPr>
          <w:rFonts w:hint="eastAsia" w:ascii="宋体" w:hAnsi="宋体" w:cs="宋体"/>
          <w:b/>
          <w:bCs/>
          <w:sz w:val="21"/>
          <w:szCs w:val="21"/>
        </w:rPr>
      </w:pPr>
      <w:r>
        <w:rPr>
          <w:rFonts w:hint="eastAsia" w:ascii="宋体" w:hAnsi="宋体" w:cs="宋体"/>
          <w:b/>
          <w:bCs/>
          <w:sz w:val="21"/>
          <w:szCs w:val="21"/>
        </w:rPr>
        <w:t>3.</w:t>
      </w:r>
      <w:r>
        <w:rPr>
          <w:rFonts w:hint="eastAsia" w:ascii="宋体" w:hAnsi="宋体" w:cs="宋体"/>
          <w:b/>
          <w:bCs/>
          <w:sz w:val="21"/>
          <w:szCs w:val="21"/>
          <w:lang w:val="en-US" w:eastAsia="zh-CN"/>
        </w:rPr>
        <w:t>9</w:t>
      </w:r>
      <w:r>
        <w:rPr>
          <w:rFonts w:hint="eastAsia" w:ascii="宋体" w:hAnsi="宋体" w:cs="宋体"/>
          <w:b/>
          <w:bCs/>
          <w:sz w:val="21"/>
          <w:szCs w:val="21"/>
        </w:rPr>
        <w:t xml:space="preserve"> 不得否决投标的情形</w:t>
      </w:r>
    </w:p>
    <w:p>
      <w:pPr>
        <w:pStyle w:val="3"/>
        <w:adjustRightInd w:val="0"/>
        <w:snapToGrid w:val="0"/>
        <w:ind w:right="100" w:firstLine="420" w:firstLineChars="200"/>
        <w:rPr>
          <w:rFonts w:hint="eastAsia" w:ascii="宋体" w:hAnsi="宋体" w:cs="宋体"/>
          <w:sz w:val="21"/>
          <w:szCs w:val="21"/>
        </w:rPr>
      </w:pPr>
      <w:r>
        <w:rPr>
          <w:rFonts w:hint="eastAsia" w:ascii="宋体" w:hAnsi="宋体" w:cs="宋体"/>
          <w:sz w:val="21"/>
          <w:szCs w:val="21"/>
        </w:rPr>
        <w:t>投标文件存在第二章“投标人须知” 第1.12.3项所列情形的，均视为细微偏差，评标委员会不得否决投标人的投标，应按照第二章“投标人须知”第1.12.4项规定的原则处理。</w:t>
      </w:r>
    </w:p>
    <w:p>
      <w:pPr>
        <w:pStyle w:val="3"/>
        <w:adjustRightInd w:val="0"/>
        <w:snapToGrid w:val="0"/>
        <w:ind w:right="1316"/>
        <w:rPr>
          <w:rFonts w:hint="eastAsia" w:ascii="宋体" w:hAnsi="宋体" w:cs="宋体"/>
          <w:b/>
          <w:bCs/>
          <w:sz w:val="21"/>
          <w:szCs w:val="21"/>
        </w:rPr>
      </w:pPr>
      <w:r>
        <w:rPr>
          <w:rFonts w:hint="eastAsia" w:ascii="宋体" w:hAnsi="宋体" w:cs="宋体"/>
          <w:b/>
          <w:bCs/>
          <w:sz w:val="21"/>
          <w:szCs w:val="21"/>
        </w:rPr>
        <w:t>3.</w:t>
      </w:r>
      <w:r>
        <w:rPr>
          <w:rFonts w:hint="eastAsia" w:ascii="宋体" w:hAnsi="宋体" w:cs="宋体"/>
          <w:b/>
          <w:bCs/>
          <w:sz w:val="21"/>
          <w:szCs w:val="21"/>
          <w:lang w:val="en-US" w:eastAsia="zh-CN"/>
        </w:rPr>
        <w:t>10</w:t>
      </w:r>
      <w:r>
        <w:rPr>
          <w:rFonts w:hint="eastAsia" w:ascii="宋体" w:hAnsi="宋体" w:cs="宋体"/>
          <w:b/>
          <w:bCs/>
          <w:sz w:val="21"/>
          <w:szCs w:val="21"/>
        </w:rPr>
        <w:t>评标结果</w:t>
      </w:r>
    </w:p>
    <w:p>
      <w:pPr>
        <w:pStyle w:val="3"/>
        <w:adjustRightInd w:val="0"/>
        <w:snapToGrid w:val="0"/>
        <w:ind w:right="297" w:firstLine="420" w:firstLineChars="200"/>
        <w:rPr>
          <w:rFonts w:hint="eastAsia" w:ascii="宋体" w:hAnsi="宋体" w:cs="宋体"/>
          <w:sz w:val="21"/>
          <w:szCs w:val="21"/>
        </w:rPr>
      </w:pPr>
      <w:r>
        <w:rPr>
          <w:rFonts w:hint="eastAsia" w:ascii="宋体" w:hAnsi="宋体" w:cs="宋体"/>
          <w:sz w:val="21"/>
          <w:szCs w:val="21"/>
        </w:rPr>
        <w:t>3.</w:t>
      </w:r>
      <w:r>
        <w:rPr>
          <w:rFonts w:hint="eastAsia" w:ascii="宋体" w:hAnsi="宋体" w:cs="宋体"/>
          <w:sz w:val="21"/>
          <w:szCs w:val="21"/>
          <w:lang w:val="en-US" w:eastAsia="zh-CN"/>
        </w:rPr>
        <w:t>10</w:t>
      </w:r>
      <w:r>
        <w:rPr>
          <w:rFonts w:hint="eastAsia" w:ascii="宋体" w:hAnsi="宋体" w:cs="宋体"/>
          <w:sz w:val="21"/>
          <w:szCs w:val="21"/>
        </w:rPr>
        <w:t>.1 除第二章“投标人须知”前附表授权直接确定中标人外，评标委员会按照得分由高到低的顺序推荐中标候选人，并标明排序。</w:t>
      </w:r>
    </w:p>
    <w:p>
      <w:r>
        <w:rPr>
          <w:rFonts w:hint="eastAsia" w:ascii="宋体" w:hAnsi="宋体" w:cs="宋体"/>
          <w:sz w:val="21"/>
          <w:szCs w:val="21"/>
        </w:rPr>
        <w:t>3.</w:t>
      </w:r>
      <w:r>
        <w:rPr>
          <w:rFonts w:hint="eastAsia" w:ascii="宋体" w:hAnsi="宋体" w:cs="宋体"/>
          <w:sz w:val="21"/>
          <w:szCs w:val="21"/>
          <w:lang w:val="en-US" w:eastAsia="zh-CN"/>
        </w:rPr>
        <w:t>10</w:t>
      </w:r>
      <w:r>
        <w:rPr>
          <w:rFonts w:hint="eastAsia" w:ascii="宋体" w:hAnsi="宋体" w:cs="宋体"/>
          <w:sz w:val="21"/>
          <w:szCs w:val="21"/>
        </w:rPr>
        <w:t>.2  评标委员会完成评标后，应向招标人提交书面评标报告。</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4ZTI4Zjk4NGQ2MzUzODAzMDU4MjE2ZTgwNTZkNjEifQ=="/>
  </w:docVars>
  <w:rsids>
    <w:rsidRoot w:val="07E027C8"/>
    <w:rsid w:val="07E02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1"/>
    <w:uiPriority w:val="0"/>
    <w:pPr>
      <w:ind w:firstLine="420"/>
    </w:pPr>
    <w:rPr>
      <w:szCs w:val="20"/>
    </w:rPr>
  </w:style>
  <w:style w:type="paragraph" w:styleId="3">
    <w:name w:val="Body Text"/>
    <w:basedOn w:val="1"/>
    <w:qFormat/>
    <w:uiPriority w:val="0"/>
    <w:pPr>
      <w:spacing w:line="360" w:lineRule="auto"/>
    </w:pPr>
    <w:rPr>
      <w:sz w:val="24"/>
    </w:rPr>
  </w:style>
  <w:style w:type="paragraph" w:customStyle="1" w:styleId="6">
    <w:name w:val="正文2"/>
    <w:qFormat/>
    <w:uiPriority w:val="0"/>
    <w:pPr>
      <w:widowControl w:val="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2024-06-21T03:12:00Z</dcterms:created>
  <dc:creator>86151</dc:creator>
  <cp:lastModifiedBy>86151</cp:lastModifiedBy>
  <dcterms:modified xsi:type="dcterms:W3CDTF">2024-06-21T03:12:50Z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5C734B4F176F400D8840491E9B511AEE_11</vt:lpwstr>
  </property>
</Properties>
</file>