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5C258">
      <w:pPr>
        <w:pStyle w:val="6"/>
        <w:jc w:val="center"/>
        <w:rPr>
          <w:color w:val="auto"/>
          <w:highlight w:val="none"/>
        </w:rPr>
      </w:pPr>
      <w:r>
        <w:rPr>
          <w:rFonts w:hint="eastAsia"/>
          <w:color w:val="auto"/>
          <w:highlight w:val="none"/>
        </w:rPr>
        <w:t>沈阳市国家综合货运枢纽补链强链</w:t>
      </w:r>
    </w:p>
    <w:p w14:paraId="2CED859C">
      <w:pPr>
        <w:pStyle w:val="6"/>
        <w:jc w:val="center"/>
        <w:rPr>
          <w:rFonts w:hint="eastAsia"/>
          <w:color w:val="auto"/>
          <w:highlight w:val="none"/>
        </w:rPr>
      </w:pPr>
      <w:r>
        <w:rPr>
          <w:rFonts w:hint="eastAsia"/>
          <w:color w:val="auto"/>
          <w:highlight w:val="none"/>
        </w:rPr>
        <w:t>奖补资金管理实施细则</w:t>
      </w:r>
    </w:p>
    <w:p w14:paraId="662E1CDF">
      <w:pPr>
        <w:jc w:val="center"/>
        <w:rPr>
          <w:rFonts w:hint="eastAsia" w:eastAsia="仿宋_GB2312"/>
          <w:color w:val="auto"/>
          <w:highlight w:val="none"/>
          <w:lang w:eastAsia="zh-CN"/>
        </w:rPr>
      </w:pPr>
      <w:r>
        <w:rPr>
          <w:rFonts w:hint="eastAsia"/>
          <w:color w:val="auto"/>
          <w:highlight w:val="none"/>
          <w:lang w:eastAsia="zh-CN"/>
        </w:rPr>
        <w:t>（征求意见稿）</w:t>
      </w:r>
    </w:p>
    <w:p w14:paraId="2F2B6AC5">
      <w:pPr>
        <w:rPr>
          <w:color w:val="auto"/>
          <w:highlight w:val="none"/>
        </w:rPr>
      </w:pPr>
    </w:p>
    <w:p w14:paraId="2FABCAC7">
      <w:pPr>
        <w:pStyle w:val="2"/>
        <w:rPr>
          <w:color w:val="auto"/>
          <w:highlight w:val="none"/>
        </w:rPr>
      </w:pPr>
      <w:r>
        <w:rPr>
          <w:rFonts w:hint="eastAsia"/>
          <w:color w:val="auto"/>
          <w:highlight w:val="none"/>
        </w:rPr>
        <w:t xml:space="preserve">第一章 </w:t>
      </w:r>
      <w:r>
        <w:rPr>
          <w:color w:val="auto"/>
          <w:highlight w:val="none"/>
        </w:rPr>
        <w:t xml:space="preserve"> </w:t>
      </w:r>
      <w:r>
        <w:rPr>
          <w:rFonts w:hint="eastAsia"/>
          <w:color w:val="auto"/>
          <w:highlight w:val="none"/>
        </w:rPr>
        <w:t>总则</w:t>
      </w:r>
    </w:p>
    <w:p w14:paraId="6C8F0B82">
      <w:pPr>
        <w:pStyle w:val="3"/>
        <w:rPr>
          <w:color w:val="auto"/>
          <w:highlight w:val="none"/>
        </w:rPr>
      </w:pPr>
      <w:r>
        <w:rPr>
          <w:rFonts w:hint="eastAsia"/>
          <w:color w:val="auto"/>
          <w:highlight w:val="none"/>
        </w:rPr>
        <w:t>为加强和规范沈阳市国家综合货运枢纽补链强链奖补资金(以下简称奖补资金)管理，充分发挥奖补资金引导作用，提高资金使用效益，根据《财政部 交通运输部关于支持国家综合货运枢纽补链强链的通知》(财建〔2022〕219号)、《交通运输部办公厅 财政部办公厅关于做好国家综合货运枢纽补链强链工作的通知》(交办规划〔2022〕34号)、《财政部 交通运输部关于印发〈车辆购置税收入补助地方资金管理暂行办法〉的通知》(财建〔2021〕50号)、《辽宁省国家综合货运枢纽补链强链奖补资金管理办法》（辽〔202</w:t>
      </w:r>
      <w:r>
        <w:rPr>
          <w:color w:val="auto"/>
          <w:highlight w:val="none"/>
        </w:rPr>
        <w:t>4</w:t>
      </w:r>
      <w:r>
        <w:rPr>
          <w:rFonts w:hint="eastAsia"/>
          <w:color w:val="auto"/>
          <w:highlight w:val="none"/>
        </w:rPr>
        <w:t>〕XXX号）》等文件规定，结合沈阳市综合货运枢纽建设实际，制定本细则。</w:t>
      </w:r>
    </w:p>
    <w:p w14:paraId="46B9648D">
      <w:pPr>
        <w:pStyle w:val="3"/>
        <w:rPr>
          <w:color w:val="auto"/>
          <w:highlight w:val="none"/>
        </w:rPr>
      </w:pPr>
      <w:r>
        <w:rPr>
          <w:rFonts w:hint="eastAsia"/>
          <w:color w:val="auto"/>
          <w:highlight w:val="none"/>
        </w:rPr>
        <w:t>本细则所称奖补资金是指财政部、交通运输部采取“奖补结合”方式，支持沈阳市国家综合货运枢纽补链强链的中央车辆购置税收入补助地方资金。</w:t>
      </w:r>
    </w:p>
    <w:p w14:paraId="42DA4B8E">
      <w:pPr>
        <w:pStyle w:val="3"/>
        <w:rPr>
          <w:color w:val="auto"/>
          <w:highlight w:val="none"/>
        </w:rPr>
      </w:pPr>
      <w:r>
        <w:rPr>
          <w:rFonts w:hint="eastAsia"/>
          <w:color w:val="auto"/>
          <w:highlight w:val="none"/>
        </w:rPr>
        <w:t>奖补资金管理和使用遵循公平、公正、公开的原则，坚持目标导向、择优支持、跟踪问效、奖补结合，全面实施预算绩效管理，切实提高资金使用效益。</w:t>
      </w:r>
    </w:p>
    <w:p w14:paraId="51534578">
      <w:pPr>
        <w:pStyle w:val="3"/>
        <w:rPr>
          <w:color w:val="auto"/>
          <w:highlight w:val="none"/>
        </w:rPr>
      </w:pPr>
      <w:r>
        <w:rPr>
          <w:rFonts w:hint="eastAsia"/>
          <w:color w:val="auto"/>
          <w:highlight w:val="none"/>
        </w:rPr>
        <w:t>奖补资金管理工作由市交通运输局、市财政局会同相关市直部门、区县（市）</w:t>
      </w:r>
      <w:r>
        <w:rPr>
          <w:rFonts w:hint="eastAsia"/>
          <w:color w:val="auto"/>
          <w:highlight w:val="none"/>
          <w:lang w:val="en-US" w:eastAsia="zh-CN"/>
        </w:rPr>
        <w:t>人民</w:t>
      </w:r>
      <w:r>
        <w:rPr>
          <w:rFonts w:hint="eastAsia"/>
          <w:color w:val="auto"/>
          <w:highlight w:val="none"/>
        </w:rPr>
        <w:t>政府、管委会及项目建设单位共同完成，按职责分工开展管理和监督等工作:</w:t>
      </w:r>
    </w:p>
    <w:p w14:paraId="3445E4C8">
      <w:pPr>
        <w:rPr>
          <w:color w:val="auto"/>
          <w:highlight w:val="none"/>
        </w:rPr>
      </w:pPr>
      <w:r>
        <w:rPr>
          <w:rFonts w:hint="eastAsia"/>
          <w:color w:val="auto"/>
          <w:highlight w:val="none"/>
        </w:rPr>
        <w:t>（一）</w:t>
      </w:r>
      <w:r>
        <w:rPr>
          <w:color w:val="auto"/>
          <w:highlight w:val="none"/>
        </w:rPr>
        <w:t>市交通运输局负责</w:t>
      </w:r>
      <w:r>
        <w:rPr>
          <w:rFonts w:hint="eastAsia"/>
          <w:color w:val="auto"/>
          <w:highlight w:val="none"/>
        </w:rPr>
        <w:t>会同市财政局拟定奖补资金分配方案，组织相关市直部门、区县（市）</w:t>
      </w:r>
      <w:r>
        <w:rPr>
          <w:rFonts w:hint="eastAsia"/>
          <w:color w:val="auto"/>
          <w:highlight w:val="none"/>
          <w:lang w:val="en-US" w:eastAsia="zh-CN"/>
        </w:rPr>
        <w:t>人民</w:t>
      </w:r>
      <w:r>
        <w:rPr>
          <w:rFonts w:hint="eastAsia"/>
          <w:color w:val="auto"/>
          <w:highlight w:val="none"/>
        </w:rPr>
        <w:t>政府、管委会开展项目储备和审查、资金申报等项目管理工作，动态跟踪绩效目标实现情况，会同市财政局组织开展绩效评价，按规定做好信息公开。</w:t>
      </w:r>
    </w:p>
    <w:p w14:paraId="029CFB0B">
      <w:pPr>
        <w:rPr>
          <w:color w:val="auto"/>
          <w:highlight w:val="none"/>
        </w:rPr>
      </w:pPr>
      <w:r>
        <w:rPr>
          <w:rFonts w:hint="eastAsia"/>
          <w:color w:val="auto"/>
          <w:highlight w:val="none"/>
        </w:rPr>
        <w:t>（二）市财政局负责按照市政府审定的奖补资金分配方案下达资金，办理资金拨付，加强资金使用管理，对奖补资金使用情况进行监督检查，按规定做好信息公开。</w:t>
      </w:r>
    </w:p>
    <w:p w14:paraId="469A2CF6">
      <w:pPr>
        <w:rPr>
          <w:color w:val="auto"/>
          <w:highlight w:val="none"/>
        </w:rPr>
      </w:pPr>
      <w:r>
        <w:rPr>
          <w:rFonts w:hint="eastAsia"/>
          <w:color w:val="auto"/>
          <w:highlight w:val="none"/>
        </w:rPr>
        <w:t>（三）项目涉及的相关市直部门、区县（市）</w:t>
      </w:r>
      <w:r>
        <w:rPr>
          <w:rFonts w:hint="eastAsia"/>
          <w:color w:val="auto"/>
          <w:highlight w:val="none"/>
          <w:lang w:val="en-US" w:eastAsia="zh-CN"/>
        </w:rPr>
        <w:t>人民</w:t>
      </w:r>
      <w:r>
        <w:rPr>
          <w:rFonts w:hint="eastAsia"/>
          <w:color w:val="auto"/>
          <w:highlight w:val="none"/>
        </w:rPr>
        <w:t>政府、管委会负责项目资金申报、项目审查、实施管理、资金使用监管、监督检查、动态跟踪和绩效管理等全过程组织监管工作，并对项目的真实性、合规性负责，</w:t>
      </w:r>
      <w:r>
        <w:rPr>
          <w:color w:val="auto"/>
          <w:highlight w:val="none"/>
        </w:rPr>
        <w:t>不得挤占、截留、挪用奖补资金，确保专款专用。</w:t>
      </w:r>
    </w:p>
    <w:p w14:paraId="72BCEB16">
      <w:pPr>
        <w:rPr>
          <w:color w:val="auto"/>
          <w:highlight w:val="none"/>
        </w:rPr>
      </w:pPr>
      <w:r>
        <w:rPr>
          <w:rFonts w:hint="eastAsia"/>
          <w:color w:val="auto"/>
          <w:highlight w:val="none"/>
        </w:rPr>
        <w:t>（四）项目建设单位是奖补资金申报、项目实施和奖补资金使用的责任主体。项目建设单位需建立完善的奖补资金管理制度，设置受第三方监管的奖补资金专户，</w:t>
      </w:r>
      <w:r>
        <w:rPr>
          <w:color w:val="auto"/>
          <w:highlight w:val="none"/>
        </w:rPr>
        <w:t>依法合规使用奖补资金</w:t>
      </w:r>
      <w:r>
        <w:rPr>
          <w:rFonts w:hint="eastAsia"/>
          <w:color w:val="auto"/>
          <w:highlight w:val="none"/>
        </w:rPr>
        <w:t>，及时</w:t>
      </w:r>
      <w:r>
        <w:rPr>
          <w:color w:val="auto"/>
          <w:highlight w:val="none"/>
        </w:rPr>
        <w:t>落实自筹资金</w:t>
      </w:r>
      <w:r>
        <w:rPr>
          <w:rFonts w:hint="eastAsia"/>
          <w:color w:val="auto"/>
          <w:highlight w:val="none"/>
        </w:rPr>
        <w:t>；建立完善的项目管理制度，确保完成投资计划；按时完成绩效目标任务，做好年度绩效自评工作，自觉接受督导检查、绩效评估，按要求上报相关资料和信息，确保项目绩效如期完成。</w:t>
      </w:r>
    </w:p>
    <w:p w14:paraId="5493A978">
      <w:pPr>
        <w:pStyle w:val="2"/>
        <w:rPr>
          <w:color w:val="auto"/>
          <w:highlight w:val="none"/>
        </w:rPr>
      </w:pPr>
      <w:r>
        <w:rPr>
          <w:rFonts w:hint="eastAsia"/>
          <w:color w:val="auto"/>
          <w:highlight w:val="none"/>
        </w:rPr>
        <w:t xml:space="preserve">第二章 </w:t>
      </w:r>
      <w:r>
        <w:rPr>
          <w:color w:val="auto"/>
          <w:highlight w:val="none"/>
        </w:rPr>
        <w:t xml:space="preserve"> </w:t>
      </w:r>
      <w:r>
        <w:rPr>
          <w:rFonts w:hint="eastAsia"/>
          <w:color w:val="auto"/>
          <w:highlight w:val="none"/>
        </w:rPr>
        <w:t>支持范围和分配原则</w:t>
      </w:r>
    </w:p>
    <w:p w14:paraId="34E3786C">
      <w:pPr>
        <w:pStyle w:val="3"/>
        <w:rPr>
          <w:color w:val="auto"/>
          <w:highlight w:val="none"/>
        </w:rPr>
      </w:pPr>
      <w:r>
        <w:rPr>
          <w:rFonts w:hint="eastAsia"/>
          <w:color w:val="auto"/>
          <w:highlight w:val="none"/>
        </w:rPr>
        <w:t>奖补资金用于支持</w:t>
      </w:r>
      <w:r>
        <w:rPr>
          <w:color w:val="auto"/>
          <w:highlight w:val="none"/>
        </w:rPr>
        <w:t>《</w:t>
      </w:r>
      <w:r>
        <w:rPr>
          <w:rFonts w:hint="eastAsia"/>
          <w:color w:val="auto"/>
          <w:highlight w:val="none"/>
        </w:rPr>
        <w:t>大连沈阳</w:t>
      </w:r>
      <w:r>
        <w:rPr>
          <w:color w:val="auto"/>
          <w:highlight w:val="none"/>
        </w:rPr>
        <w:t>国家综合货运枢纽补链强链三年实施方案(2024年</w:t>
      </w:r>
      <w:r>
        <w:rPr>
          <w:rFonts w:hint="eastAsia"/>
          <w:color w:val="auto"/>
          <w:highlight w:val="none"/>
        </w:rPr>
        <w:t>-</w:t>
      </w:r>
      <w:r>
        <w:rPr>
          <w:color w:val="auto"/>
          <w:highlight w:val="none"/>
        </w:rPr>
        <w:t>2026年)》(以下简称《实施方案》)重点项目清单</w:t>
      </w:r>
      <w:r>
        <w:rPr>
          <w:rFonts w:hint="eastAsia"/>
          <w:color w:val="auto"/>
          <w:highlight w:val="none"/>
        </w:rPr>
        <w:t>中</w:t>
      </w:r>
      <w:r>
        <w:rPr>
          <w:color w:val="auto"/>
          <w:highlight w:val="none"/>
        </w:rPr>
        <w:t>的</w:t>
      </w:r>
      <w:r>
        <w:rPr>
          <w:rFonts w:hint="eastAsia"/>
          <w:color w:val="auto"/>
          <w:highlight w:val="none"/>
        </w:rPr>
        <w:t>沈阳市</w:t>
      </w:r>
      <w:r>
        <w:rPr>
          <w:color w:val="auto"/>
          <w:highlight w:val="none"/>
        </w:rPr>
        <w:t>综合货运枢纽、集疏运体系、设备更新升级、信息化建设项目</w:t>
      </w:r>
      <w:r>
        <w:rPr>
          <w:rFonts w:hint="eastAsia"/>
          <w:color w:val="auto"/>
          <w:highlight w:val="none"/>
        </w:rPr>
        <w:t>。</w:t>
      </w:r>
    </w:p>
    <w:p w14:paraId="3FD951D0">
      <w:pPr>
        <w:pStyle w:val="3"/>
        <w:rPr>
          <w:color w:val="auto"/>
          <w:highlight w:val="none"/>
        </w:rPr>
      </w:pPr>
      <w:r>
        <w:rPr>
          <w:color w:val="auto"/>
          <w:highlight w:val="none"/>
        </w:rPr>
        <w:t>项目在实施期内</w:t>
      </w:r>
      <w:r>
        <w:rPr>
          <w:rFonts w:hint="eastAsia"/>
          <w:color w:val="auto"/>
          <w:highlight w:val="none"/>
        </w:rPr>
        <w:t>（</w:t>
      </w:r>
      <w:r>
        <w:rPr>
          <w:color w:val="auto"/>
          <w:highlight w:val="none"/>
        </w:rPr>
        <w:t>2024年1月1日至2026年12月31日</w:t>
      </w:r>
      <w:r>
        <w:rPr>
          <w:rFonts w:hint="eastAsia"/>
          <w:color w:val="auto"/>
          <w:highlight w:val="none"/>
        </w:rPr>
        <w:t>）</w:t>
      </w:r>
      <w:r>
        <w:rPr>
          <w:color w:val="auto"/>
          <w:highlight w:val="none"/>
        </w:rPr>
        <w:t>产生的核定投资</w:t>
      </w:r>
      <w:r>
        <w:rPr>
          <w:rFonts w:hint="eastAsia"/>
          <w:color w:val="auto"/>
          <w:highlight w:val="none"/>
        </w:rPr>
        <w:t>额是</w:t>
      </w:r>
      <w:r>
        <w:rPr>
          <w:color w:val="auto"/>
          <w:highlight w:val="none"/>
        </w:rPr>
        <w:t>奖补资金分配的重要</w:t>
      </w:r>
      <w:r>
        <w:rPr>
          <w:rFonts w:hint="eastAsia"/>
          <w:color w:val="auto"/>
          <w:highlight w:val="none"/>
        </w:rPr>
        <w:t>依据(核定投资额是指项目实施期内的总投资中符合国家支持方向的项目投资)</w:t>
      </w:r>
      <w:r>
        <w:rPr>
          <w:color w:val="auto"/>
          <w:highlight w:val="none"/>
        </w:rPr>
        <w:t>。</w:t>
      </w:r>
      <w:r>
        <w:rPr>
          <w:rFonts w:hint="eastAsia"/>
          <w:color w:val="auto"/>
          <w:highlight w:val="none"/>
        </w:rPr>
        <w:t>项目获得的奖补资金比例不超过累计核定投资额的50%。已享受过其他中央资金补助的项目不纳入核定投资额，不再重复享受奖补资金。</w:t>
      </w:r>
      <w:r>
        <w:rPr>
          <w:color w:val="auto"/>
          <w:highlight w:val="none"/>
        </w:rPr>
        <w:t>核定投资不包括以下内容</w:t>
      </w:r>
      <w:r>
        <w:rPr>
          <w:rFonts w:hint="eastAsia"/>
          <w:color w:val="auto"/>
          <w:highlight w:val="none"/>
        </w:rPr>
        <w:t>：</w:t>
      </w:r>
    </w:p>
    <w:p w14:paraId="0F245DA6">
      <w:pPr>
        <w:rPr>
          <w:color w:val="auto"/>
          <w:highlight w:val="none"/>
        </w:rPr>
      </w:pPr>
      <w:r>
        <w:rPr>
          <w:rFonts w:hint="eastAsia"/>
          <w:color w:val="auto"/>
          <w:highlight w:val="none"/>
        </w:rPr>
        <w:t>（一）</w:t>
      </w:r>
      <w:r>
        <w:rPr>
          <w:color w:val="auto"/>
          <w:highlight w:val="none"/>
        </w:rPr>
        <w:t>征地拆迁、房地产开发、楼堂馆所建设以及不满足要求的物流园区建设和运营产生的投资;</w:t>
      </w:r>
    </w:p>
    <w:p w14:paraId="01296EEB">
      <w:pPr>
        <w:rPr>
          <w:color w:val="auto"/>
          <w:highlight w:val="none"/>
        </w:rPr>
      </w:pPr>
      <w:r>
        <w:rPr>
          <w:rFonts w:hint="eastAsia"/>
          <w:color w:val="auto"/>
          <w:highlight w:val="none"/>
        </w:rPr>
        <w:t>（二）</w:t>
      </w:r>
      <w:r>
        <w:rPr>
          <w:color w:val="auto"/>
          <w:highlight w:val="none"/>
        </w:rPr>
        <w:t>项目在2024年1月1日前产生的投资;</w:t>
      </w:r>
    </w:p>
    <w:p w14:paraId="4D2D315A">
      <w:pPr>
        <w:rPr>
          <w:color w:val="auto"/>
          <w:highlight w:val="none"/>
        </w:rPr>
      </w:pPr>
      <w:r>
        <w:rPr>
          <w:rFonts w:hint="eastAsia"/>
          <w:color w:val="auto"/>
          <w:highlight w:val="none"/>
        </w:rPr>
        <w:t>（三）</w:t>
      </w:r>
      <w:r>
        <w:rPr>
          <w:color w:val="auto"/>
          <w:highlight w:val="none"/>
        </w:rPr>
        <w:t>项目开工建设以前所发生的各项前期工作费用</w:t>
      </w:r>
      <w:r>
        <w:rPr>
          <w:rFonts w:hint="eastAsia"/>
          <w:color w:val="auto"/>
          <w:highlight w:val="none"/>
        </w:rPr>
        <w:t>；</w:t>
      </w:r>
    </w:p>
    <w:p w14:paraId="2D90D708">
      <w:pPr>
        <w:rPr>
          <w:color w:val="auto"/>
          <w:highlight w:val="none"/>
        </w:rPr>
      </w:pPr>
      <w:r>
        <w:rPr>
          <w:rFonts w:hint="eastAsia"/>
          <w:color w:val="auto"/>
          <w:highlight w:val="none"/>
        </w:rPr>
        <w:t>（四）交通运输部认定的其他投资</w:t>
      </w:r>
      <w:r>
        <w:rPr>
          <w:color w:val="auto"/>
          <w:highlight w:val="none"/>
        </w:rPr>
        <w:t>。</w:t>
      </w:r>
    </w:p>
    <w:p w14:paraId="04664DED">
      <w:pPr>
        <w:rPr>
          <w:color w:val="auto"/>
          <w:highlight w:val="none"/>
        </w:rPr>
      </w:pPr>
      <w:r>
        <w:rPr>
          <w:rFonts w:hint="eastAsia"/>
          <w:color w:val="auto"/>
          <w:highlight w:val="none"/>
        </w:rPr>
        <w:t>未依法获得立项、土地、工程等相关前期手续的项目，或项目单位被依法列入严重失信主体名单的，不得申请奖补资金。</w:t>
      </w:r>
    </w:p>
    <w:p w14:paraId="389D77BD">
      <w:pPr>
        <w:pStyle w:val="3"/>
        <w:rPr>
          <w:color w:val="auto"/>
          <w:highlight w:val="none"/>
        </w:rPr>
      </w:pPr>
      <w:r>
        <w:rPr>
          <w:rFonts w:hint="eastAsia"/>
          <w:color w:val="auto"/>
          <w:highlight w:val="none"/>
        </w:rPr>
        <w:t>根据沈阳市年度获得的奖补资金额度以及项目年度计划核定投资额,综合确定年度奖补资金分配意见，</w:t>
      </w:r>
      <w:r>
        <w:rPr>
          <w:color w:val="auto"/>
          <w:highlight w:val="none"/>
        </w:rPr>
        <w:t>奖补资金分配遵循以下原则:</w:t>
      </w:r>
    </w:p>
    <w:p w14:paraId="45F17891">
      <w:pPr>
        <w:rPr>
          <w:color w:val="auto"/>
          <w:highlight w:val="none"/>
        </w:rPr>
      </w:pPr>
      <w:r>
        <w:rPr>
          <w:rFonts w:hint="eastAsia"/>
          <w:color w:val="auto"/>
          <w:highlight w:val="none"/>
        </w:rPr>
        <w:t>（一）</w:t>
      </w:r>
      <w:r>
        <w:rPr>
          <w:color w:val="auto"/>
          <w:highlight w:val="none"/>
        </w:rPr>
        <w:t>突出重点。</w:t>
      </w:r>
      <w:r>
        <w:rPr>
          <w:rFonts w:hint="eastAsia"/>
          <w:color w:val="auto"/>
          <w:highlight w:val="none"/>
        </w:rPr>
        <w:t>优先支持支撑国家战略、强化沈大协同联动、服务地方支柱产业、辐射带动作用强、具备公益属性，</w:t>
      </w:r>
      <w:r>
        <w:rPr>
          <w:color w:val="auto"/>
          <w:highlight w:val="none"/>
        </w:rPr>
        <w:t>在</w:t>
      </w:r>
      <w:r>
        <w:rPr>
          <w:rFonts w:hint="eastAsia"/>
          <w:color w:val="auto"/>
          <w:highlight w:val="none"/>
        </w:rPr>
        <w:t>沈阳</w:t>
      </w:r>
      <w:r>
        <w:rPr>
          <w:color w:val="auto"/>
          <w:highlight w:val="none"/>
        </w:rPr>
        <w:t>市乃至全省、全国有重大战略价值和战略影响力，投资规模大且合法开工的项目。</w:t>
      </w:r>
    </w:p>
    <w:p w14:paraId="0347E921">
      <w:pPr>
        <w:rPr>
          <w:color w:val="auto"/>
          <w:highlight w:val="none"/>
        </w:rPr>
      </w:pPr>
      <w:r>
        <w:rPr>
          <w:rFonts w:hint="eastAsia"/>
          <w:color w:val="auto"/>
          <w:highlight w:val="none"/>
        </w:rPr>
        <w:t>（二）</w:t>
      </w:r>
      <w:r>
        <w:rPr>
          <w:color w:val="auto"/>
          <w:highlight w:val="none"/>
        </w:rPr>
        <w:t>统筹兼顾。统筹考虑各个项目在省级、市级，以及市内各区县</w:t>
      </w:r>
      <w:r>
        <w:rPr>
          <w:rFonts w:hint="eastAsia"/>
          <w:color w:val="auto"/>
          <w:highlight w:val="none"/>
        </w:rPr>
        <w:t>（市）</w:t>
      </w:r>
      <w:r>
        <w:rPr>
          <w:color w:val="auto"/>
          <w:highlight w:val="none"/>
        </w:rPr>
        <w:t>、管委会的空间布局，资金分配应兼顾上述布局的均衡性，并统筹考虑项目类型、联运功能及示范效应。</w:t>
      </w:r>
    </w:p>
    <w:p w14:paraId="52D54063">
      <w:pPr>
        <w:rPr>
          <w:color w:val="auto"/>
          <w:highlight w:val="none"/>
        </w:rPr>
      </w:pPr>
      <w:r>
        <w:rPr>
          <w:rFonts w:hint="eastAsia"/>
          <w:color w:val="auto"/>
          <w:highlight w:val="none"/>
        </w:rPr>
        <w:t>（三）</w:t>
      </w:r>
      <w:r>
        <w:rPr>
          <w:color w:val="auto"/>
          <w:highlight w:val="none"/>
        </w:rPr>
        <w:t>绩效优先。资金分配始终坚持绩效管理考核，以考核结果为导向和依据。对于绩效评价结果优秀的项目，在后续资金分配中重点支持，对于绩效评价结果较差的项目，不</w:t>
      </w:r>
      <w:r>
        <w:rPr>
          <w:rFonts w:hint="eastAsia"/>
          <w:color w:val="auto"/>
          <w:highlight w:val="none"/>
        </w:rPr>
        <w:t>予</w:t>
      </w:r>
      <w:r>
        <w:rPr>
          <w:color w:val="auto"/>
          <w:highlight w:val="none"/>
        </w:rPr>
        <w:t>安排奖补资金甚至收回已安排的资金。</w:t>
      </w:r>
    </w:p>
    <w:p w14:paraId="5A11BCFD">
      <w:pPr>
        <w:pStyle w:val="3"/>
        <w:rPr>
          <w:color w:val="auto"/>
          <w:highlight w:val="none"/>
        </w:rPr>
      </w:pPr>
      <w:r>
        <w:rPr>
          <w:rFonts w:hint="eastAsia"/>
          <w:color w:val="auto"/>
          <w:szCs w:val="24"/>
          <w:highlight w:val="none"/>
        </w:rPr>
        <w:t>奖补</w:t>
      </w:r>
      <w:r>
        <w:rPr>
          <w:color w:val="auto"/>
          <w:highlight w:val="none"/>
        </w:rPr>
        <w:t>资金</w:t>
      </w:r>
      <w:r>
        <w:rPr>
          <w:rFonts w:hint="eastAsia"/>
          <w:color w:val="auto"/>
          <w:highlight w:val="none"/>
        </w:rPr>
        <w:t>采用“预分配、后结算”的方式分配，根据国家、辽宁省年度实际下达的奖补资金额度，综合项目与国家政策支持方向的契合度、项目总体绩效目标贡献度、上一年度绩效目标完成情况等因素，划分不同区段奖补比例，确定每个项目资金分配额度。</w:t>
      </w:r>
    </w:p>
    <w:p w14:paraId="1A8F9B8D">
      <w:pPr>
        <w:pStyle w:val="3"/>
        <w:rPr>
          <w:color w:val="auto"/>
          <w:highlight w:val="none"/>
        </w:rPr>
      </w:pPr>
      <w:r>
        <w:rPr>
          <w:color w:val="auto"/>
          <w:highlight w:val="none"/>
        </w:rPr>
        <w:t>项目如存在核定投资和年度绩效完成与目标偏离较大、资金使用不规范等情况，可按财政相关程序</w:t>
      </w:r>
      <w:r>
        <w:rPr>
          <w:rFonts w:hint="eastAsia"/>
          <w:color w:val="auto"/>
          <w:highlight w:val="none"/>
        </w:rPr>
        <w:t>强制</w:t>
      </w:r>
      <w:r>
        <w:rPr>
          <w:color w:val="auto"/>
          <w:highlight w:val="none"/>
        </w:rPr>
        <w:t>收回部分</w:t>
      </w:r>
      <w:r>
        <w:rPr>
          <w:rFonts w:hint="eastAsia"/>
          <w:color w:val="auto"/>
          <w:highlight w:val="none"/>
        </w:rPr>
        <w:t>或</w:t>
      </w:r>
      <w:r>
        <w:rPr>
          <w:color w:val="auto"/>
          <w:highlight w:val="none"/>
        </w:rPr>
        <w:t>全部奖补资金</w:t>
      </w:r>
      <w:r>
        <w:rPr>
          <w:rFonts w:hint="eastAsia"/>
          <w:color w:val="auto"/>
          <w:highlight w:val="none"/>
        </w:rPr>
        <w:t>。</w:t>
      </w:r>
    </w:p>
    <w:p w14:paraId="5612CEFC">
      <w:pPr>
        <w:rPr>
          <w:color w:val="auto"/>
          <w:highlight w:val="none"/>
        </w:rPr>
      </w:pPr>
    </w:p>
    <w:p w14:paraId="0953E834">
      <w:pPr>
        <w:pStyle w:val="2"/>
        <w:rPr>
          <w:color w:val="auto"/>
          <w:highlight w:val="none"/>
        </w:rPr>
      </w:pPr>
      <w:r>
        <w:rPr>
          <w:rFonts w:hint="eastAsia"/>
          <w:color w:val="auto"/>
          <w:highlight w:val="none"/>
        </w:rPr>
        <w:t>第三章</w:t>
      </w:r>
      <w:r>
        <w:rPr>
          <w:color w:val="auto"/>
          <w:highlight w:val="none"/>
        </w:rPr>
        <w:t xml:space="preserve">  资金申报、审核和拨付</w:t>
      </w:r>
    </w:p>
    <w:p w14:paraId="194679C7">
      <w:pPr>
        <w:pStyle w:val="3"/>
        <w:rPr>
          <w:color w:val="auto"/>
          <w:highlight w:val="none"/>
        </w:rPr>
      </w:pPr>
      <w:r>
        <w:rPr>
          <w:rFonts w:hint="eastAsia"/>
          <w:color w:val="auto"/>
          <w:highlight w:val="none"/>
        </w:rPr>
        <w:t>奖补资金下达我市后，市交通运输局会同市财政局根据中央奖补资金年度下达情况及相关要求，组织相关市直部门、区县（市）人民政府、管委会开展</w:t>
      </w:r>
      <w:bookmarkStart w:id="0" w:name="_Hlk179911385"/>
      <w:r>
        <w:rPr>
          <w:rFonts w:hint="eastAsia"/>
          <w:color w:val="auto"/>
          <w:highlight w:val="none"/>
        </w:rPr>
        <w:t>奖补资金申报</w:t>
      </w:r>
      <w:bookmarkEnd w:id="0"/>
      <w:r>
        <w:rPr>
          <w:rFonts w:hint="eastAsia"/>
          <w:color w:val="auto"/>
          <w:highlight w:val="none"/>
        </w:rPr>
        <w:t>工作。</w:t>
      </w:r>
    </w:p>
    <w:p w14:paraId="756095FF">
      <w:pPr>
        <w:pStyle w:val="3"/>
        <w:rPr>
          <w:color w:val="auto"/>
          <w:highlight w:val="none"/>
        </w:rPr>
      </w:pPr>
      <w:r>
        <w:rPr>
          <w:rFonts w:hint="eastAsia"/>
          <w:color w:val="auto"/>
          <w:highlight w:val="none"/>
        </w:rPr>
        <w:t>项目建设单位应按要求，编制</w:t>
      </w:r>
      <w:bookmarkStart w:id="1" w:name="_Hlk179987618"/>
      <w:r>
        <w:rPr>
          <w:rStyle w:val="16"/>
          <w:rFonts w:hint="eastAsia"/>
          <w:color w:val="auto"/>
          <w:highlight w:val="none"/>
        </w:rPr>
        <w:t>项目资金申请报告</w:t>
      </w:r>
      <w:r>
        <w:rPr>
          <w:rFonts w:hint="eastAsia"/>
          <w:color w:val="auto"/>
          <w:highlight w:val="none"/>
        </w:rPr>
        <w:t>（模板见附件1）、</w:t>
      </w:r>
      <w:r>
        <w:rPr>
          <w:rStyle w:val="16"/>
          <w:rFonts w:hint="eastAsia"/>
          <w:color w:val="auto"/>
          <w:highlight w:val="none"/>
        </w:rPr>
        <w:t>资金申报承诺书</w:t>
      </w:r>
      <w:r>
        <w:rPr>
          <w:rFonts w:hint="eastAsia"/>
          <w:color w:val="auto"/>
          <w:highlight w:val="none"/>
        </w:rPr>
        <w:t>（模板见附件2）</w:t>
      </w:r>
      <w:bookmarkEnd w:id="1"/>
      <w:r>
        <w:rPr>
          <w:rFonts w:hint="eastAsia"/>
          <w:color w:val="auto"/>
          <w:highlight w:val="none"/>
        </w:rPr>
        <w:t>，经所在相关市级部门、区县（市）人民政府、管委会初审合格后，出具</w:t>
      </w:r>
      <w:bookmarkStart w:id="2" w:name="_Hlk179987630"/>
      <w:r>
        <w:rPr>
          <w:rStyle w:val="16"/>
          <w:rFonts w:hint="eastAsia"/>
          <w:color w:val="auto"/>
          <w:highlight w:val="none"/>
        </w:rPr>
        <w:t>审核意见</w:t>
      </w:r>
      <w:r>
        <w:rPr>
          <w:rFonts w:hint="eastAsia"/>
          <w:color w:val="auto"/>
          <w:highlight w:val="none"/>
        </w:rPr>
        <w:t>（模板见附件3）</w:t>
      </w:r>
      <w:bookmarkEnd w:id="2"/>
      <w:r>
        <w:rPr>
          <w:rFonts w:hint="eastAsia"/>
          <w:color w:val="auto"/>
          <w:highlight w:val="none"/>
        </w:rPr>
        <w:t>，报送市交通运输局、市财政局。初审重点包括</w:t>
      </w:r>
      <w:r>
        <w:rPr>
          <w:color w:val="auto"/>
          <w:highlight w:val="none"/>
        </w:rPr>
        <w:t>:</w:t>
      </w:r>
    </w:p>
    <w:p w14:paraId="15674E1A">
      <w:pPr>
        <w:rPr>
          <w:color w:val="auto"/>
          <w:highlight w:val="none"/>
        </w:rPr>
      </w:pPr>
      <w:r>
        <w:rPr>
          <w:rFonts w:hint="eastAsia"/>
          <w:color w:val="auto"/>
          <w:highlight w:val="none"/>
        </w:rPr>
        <w:t>（一）</w:t>
      </w:r>
      <w:r>
        <w:rPr>
          <w:color w:val="auto"/>
          <w:highlight w:val="none"/>
        </w:rPr>
        <w:t>项目</w:t>
      </w:r>
      <w:r>
        <w:rPr>
          <w:rFonts w:hint="eastAsia"/>
          <w:color w:val="auto"/>
          <w:highlight w:val="none"/>
        </w:rPr>
        <w:t>已</w:t>
      </w:r>
      <w:r>
        <w:rPr>
          <w:color w:val="auto"/>
          <w:highlight w:val="none"/>
        </w:rPr>
        <w:t>纳入《实施方案》,并符合《国家综合货运枢纽补链强链技术指引》</w:t>
      </w:r>
      <w:r>
        <w:rPr>
          <w:rFonts w:hint="eastAsia"/>
          <w:color w:val="auto"/>
          <w:highlight w:val="none"/>
        </w:rPr>
        <w:t>《交通运输部办公厅关于实施大连、沈阳国家综合货运枢纽补链强链的意见》等相关</w:t>
      </w:r>
      <w:r>
        <w:rPr>
          <w:color w:val="auto"/>
          <w:highlight w:val="none"/>
        </w:rPr>
        <w:t>要求</w:t>
      </w:r>
      <w:r>
        <w:rPr>
          <w:rFonts w:hint="eastAsia"/>
          <w:color w:val="auto"/>
          <w:highlight w:val="none"/>
        </w:rPr>
        <w:t>；</w:t>
      </w:r>
    </w:p>
    <w:p w14:paraId="372BF5AA">
      <w:pPr>
        <w:rPr>
          <w:color w:val="auto"/>
          <w:highlight w:val="none"/>
        </w:rPr>
      </w:pPr>
      <w:r>
        <w:rPr>
          <w:rFonts w:hint="eastAsia"/>
          <w:color w:val="auto"/>
          <w:highlight w:val="none"/>
        </w:rPr>
        <w:t>（二）</w:t>
      </w:r>
      <w:r>
        <w:rPr>
          <w:color w:val="auto"/>
          <w:highlight w:val="none"/>
        </w:rPr>
        <w:t>项目建设条件</w:t>
      </w:r>
      <w:r>
        <w:rPr>
          <w:rFonts w:hint="eastAsia"/>
          <w:color w:val="auto"/>
          <w:highlight w:val="none"/>
        </w:rPr>
        <w:t>已</w:t>
      </w:r>
      <w:r>
        <w:rPr>
          <w:color w:val="auto"/>
          <w:highlight w:val="none"/>
        </w:rPr>
        <w:t>落实</w:t>
      </w:r>
      <w:r>
        <w:rPr>
          <w:rFonts w:hint="eastAsia"/>
          <w:color w:val="auto"/>
          <w:highlight w:val="none"/>
        </w:rPr>
        <w:t>并</w:t>
      </w:r>
      <w:r>
        <w:rPr>
          <w:color w:val="auto"/>
          <w:highlight w:val="none"/>
        </w:rPr>
        <w:t>合法开工</w:t>
      </w:r>
      <w:r>
        <w:rPr>
          <w:rFonts w:hint="eastAsia"/>
          <w:color w:val="auto"/>
          <w:highlight w:val="none"/>
        </w:rPr>
        <w:t>；</w:t>
      </w:r>
    </w:p>
    <w:p w14:paraId="2C7C59C5">
      <w:pPr>
        <w:rPr>
          <w:color w:val="auto"/>
          <w:highlight w:val="none"/>
        </w:rPr>
      </w:pPr>
      <w:r>
        <w:rPr>
          <w:rFonts w:hint="eastAsia"/>
          <w:color w:val="auto"/>
          <w:highlight w:val="none"/>
        </w:rPr>
        <w:t>（三）</w:t>
      </w:r>
      <w:r>
        <w:rPr>
          <w:color w:val="auto"/>
          <w:highlight w:val="none"/>
        </w:rPr>
        <w:t>资金申请报告符合要求，所提交的相关材料</w:t>
      </w:r>
      <w:r>
        <w:rPr>
          <w:rFonts w:hint="eastAsia"/>
          <w:color w:val="auto"/>
          <w:highlight w:val="none"/>
        </w:rPr>
        <w:t>和文件内容</w:t>
      </w:r>
      <w:r>
        <w:rPr>
          <w:color w:val="auto"/>
          <w:highlight w:val="none"/>
        </w:rPr>
        <w:t>一致、齐备、真实和有效</w:t>
      </w:r>
      <w:r>
        <w:rPr>
          <w:rFonts w:hint="eastAsia"/>
          <w:color w:val="auto"/>
          <w:highlight w:val="none"/>
        </w:rPr>
        <w:t>；</w:t>
      </w:r>
    </w:p>
    <w:p w14:paraId="398C9A55">
      <w:pPr>
        <w:rPr>
          <w:color w:val="auto"/>
          <w:highlight w:val="none"/>
        </w:rPr>
      </w:pPr>
      <w:r>
        <w:rPr>
          <w:rFonts w:hint="eastAsia"/>
          <w:color w:val="auto"/>
          <w:highlight w:val="none"/>
        </w:rPr>
        <w:t>（四）</w:t>
      </w:r>
      <w:r>
        <w:rPr>
          <w:color w:val="auto"/>
          <w:highlight w:val="none"/>
        </w:rPr>
        <w:t>项目核定投资额准确，申请资金额度符合要求，佐证材料充分对应且真实</w:t>
      </w:r>
      <w:r>
        <w:rPr>
          <w:rFonts w:hint="eastAsia"/>
          <w:color w:val="auto"/>
          <w:highlight w:val="none"/>
        </w:rPr>
        <w:t>；</w:t>
      </w:r>
    </w:p>
    <w:p w14:paraId="62097875">
      <w:pPr>
        <w:pStyle w:val="3"/>
        <w:numPr>
          <w:ilvl w:val="0"/>
          <w:numId w:val="2"/>
        </w:numPr>
        <w:ind w:firstLineChars="0"/>
        <w:rPr>
          <w:color w:val="auto"/>
          <w:highlight w:val="none"/>
        </w:rPr>
      </w:pPr>
      <w:r>
        <w:rPr>
          <w:color w:val="auto"/>
          <w:highlight w:val="none"/>
        </w:rPr>
        <w:t>项目绩效评价是否客观、准确。</w:t>
      </w:r>
    </w:p>
    <w:p w14:paraId="5158FFB4">
      <w:pPr>
        <w:pStyle w:val="3"/>
        <w:rPr>
          <w:color w:val="auto"/>
          <w:highlight w:val="none"/>
        </w:rPr>
      </w:pPr>
      <w:r>
        <w:rPr>
          <w:rFonts w:hint="eastAsia"/>
          <w:color w:val="auto"/>
          <w:highlight w:val="none"/>
        </w:rPr>
        <w:t>市交通运输局会同市财政局对项目资金申请报告及相关资料开展联合复审，根据复审结果，结合前期奖补资金拨付情况和上一年度绩效评价情况，提出</w:t>
      </w:r>
      <w:bookmarkStart w:id="3" w:name="_Hlk179912977"/>
      <w:r>
        <w:rPr>
          <w:rFonts w:hint="eastAsia"/>
          <w:color w:val="auto"/>
          <w:highlight w:val="none"/>
        </w:rPr>
        <w:t>本年度奖补资金预分配</w:t>
      </w:r>
      <w:bookmarkEnd w:id="3"/>
      <w:r>
        <w:rPr>
          <w:rFonts w:hint="eastAsia"/>
          <w:color w:val="auto"/>
          <w:highlight w:val="none"/>
        </w:rPr>
        <w:t>计划，上报市政府审定同意后，报省交通运输厅、省财政厅备案。</w:t>
      </w:r>
    </w:p>
    <w:p w14:paraId="59F218F8">
      <w:pPr>
        <w:pStyle w:val="3"/>
        <w:rPr>
          <w:color w:val="auto"/>
          <w:highlight w:val="none"/>
        </w:rPr>
      </w:pPr>
      <w:r>
        <w:rPr>
          <w:rFonts w:hint="eastAsia"/>
          <w:color w:val="auto"/>
          <w:highlight w:val="none"/>
        </w:rPr>
        <w:t>市财政局根据市政府审定的奖补资金预分配计划，通过好政策平台直接下达至</w:t>
      </w:r>
      <w:r>
        <w:rPr>
          <w:color w:val="auto"/>
          <w:highlight w:val="none"/>
        </w:rPr>
        <w:t>项目建设单位</w:t>
      </w:r>
      <w:r>
        <w:rPr>
          <w:rFonts w:hint="eastAsia"/>
          <w:color w:val="auto"/>
          <w:highlight w:val="none"/>
        </w:rPr>
        <w:t>受第三方监管的奖补资金专户。</w:t>
      </w:r>
    </w:p>
    <w:p w14:paraId="77EE2D74">
      <w:pPr>
        <w:pStyle w:val="3"/>
        <w:rPr>
          <w:color w:val="auto"/>
          <w:highlight w:val="none"/>
        </w:rPr>
      </w:pPr>
      <w:r>
        <w:rPr>
          <w:rFonts w:hint="eastAsia"/>
          <w:color w:val="auto"/>
          <w:highlight w:val="none"/>
        </w:rPr>
        <w:t>项目所属市直部门、区县（市）</w:t>
      </w:r>
      <w:r>
        <w:rPr>
          <w:rFonts w:hint="eastAsia"/>
          <w:color w:val="auto"/>
          <w:highlight w:val="none"/>
          <w:lang w:val="en-US" w:eastAsia="zh-CN"/>
        </w:rPr>
        <w:t>人民</w:t>
      </w:r>
      <w:r>
        <w:rPr>
          <w:rFonts w:hint="eastAsia"/>
          <w:color w:val="auto"/>
          <w:highlight w:val="none"/>
        </w:rPr>
        <w:t>政府和管委会组织项目建设单位提出奖补资金兑付申请。经审核与现场勘验，针对符合奖补要求且已实际完成的部分，由项目所属市直部门、区县（市）</w:t>
      </w:r>
      <w:r>
        <w:rPr>
          <w:rFonts w:hint="eastAsia"/>
          <w:color w:val="auto"/>
          <w:highlight w:val="none"/>
          <w:lang w:val="en-US" w:eastAsia="zh-CN"/>
        </w:rPr>
        <w:t>人民</w:t>
      </w:r>
      <w:r>
        <w:rPr>
          <w:rFonts w:hint="eastAsia"/>
          <w:color w:val="auto"/>
          <w:highlight w:val="none"/>
        </w:rPr>
        <w:t>政府和管委会出具审核同意书，并向奖补资金专户开户银行发送资金兑付指令。</w:t>
      </w:r>
    </w:p>
    <w:p w14:paraId="5CB3A3A1">
      <w:pPr>
        <w:pStyle w:val="3"/>
        <w:rPr>
          <w:color w:val="auto"/>
          <w:highlight w:val="none"/>
        </w:rPr>
      </w:pPr>
      <w:r>
        <w:rPr>
          <w:rFonts w:hint="eastAsia"/>
          <w:color w:val="auto"/>
          <w:highlight w:val="none"/>
        </w:rPr>
        <w:t>市交通运输局会同市财政局结合绩效评价结果及新一年度资金下达情况，对上一年度奖补资金分配情况进行结算。与预分配金额有差额的，通过后续年度奖补资金补齐、扣减或收回等方式进行调剂和再分配。</w:t>
      </w:r>
    </w:p>
    <w:p w14:paraId="4D64E989">
      <w:pPr>
        <w:pStyle w:val="2"/>
        <w:rPr>
          <w:color w:val="auto"/>
          <w:highlight w:val="none"/>
        </w:rPr>
      </w:pPr>
      <w:r>
        <w:rPr>
          <w:rFonts w:hint="eastAsia"/>
          <w:color w:val="auto"/>
          <w:highlight w:val="none"/>
        </w:rPr>
        <w:t xml:space="preserve">第四章 </w:t>
      </w:r>
      <w:r>
        <w:rPr>
          <w:color w:val="auto"/>
          <w:highlight w:val="none"/>
        </w:rPr>
        <w:t xml:space="preserve"> </w:t>
      </w:r>
      <w:r>
        <w:rPr>
          <w:rFonts w:hint="eastAsia"/>
          <w:color w:val="auto"/>
          <w:highlight w:val="none"/>
        </w:rPr>
        <w:t>年度绩效评价</w:t>
      </w:r>
    </w:p>
    <w:p w14:paraId="2598CDD0">
      <w:pPr>
        <w:pStyle w:val="3"/>
        <w:rPr>
          <w:color w:val="auto"/>
          <w:highlight w:val="none"/>
        </w:rPr>
      </w:pPr>
      <w:r>
        <w:rPr>
          <w:rFonts w:hint="eastAsia"/>
          <w:color w:val="auto"/>
          <w:highlight w:val="none"/>
        </w:rPr>
        <w:t>从实施期第二年（2025年）开始，由市交通运输局会同市财政局组织相关市直部门、区县（市）人民政府、管委会开展奖绩效评价工作。</w:t>
      </w:r>
    </w:p>
    <w:p w14:paraId="26476952">
      <w:pPr>
        <w:pStyle w:val="3"/>
        <w:rPr>
          <w:color w:val="auto"/>
          <w:highlight w:val="none"/>
        </w:rPr>
      </w:pPr>
      <w:r>
        <w:rPr>
          <w:rFonts w:hint="eastAsia"/>
          <w:color w:val="auto"/>
          <w:highlight w:val="none"/>
        </w:rPr>
        <w:t>项目建设单位应按照交通运输部、财政部工作进度要求，完成</w:t>
      </w:r>
      <w:bookmarkStart w:id="4" w:name="_Hlk179987652"/>
      <w:r>
        <w:rPr>
          <w:rFonts w:hint="eastAsia"/>
          <w:color w:val="auto"/>
          <w:highlight w:val="none"/>
        </w:rPr>
        <w:t>项目</w:t>
      </w:r>
      <w:r>
        <w:rPr>
          <w:rStyle w:val="16"/>
          <w:rFonts w:hint="eastAsia"/>
          <w:color w:val="auto"/>
          <w:highlight w:val="none"/>
        </w:rPr>
        <w:t>年度绩效自评报告</w:t>
      </w:r>
      <w:bookmarkEnd w:id="4"/>
      <w:r>
        <w:rPr>
          <w:rFonts w:hint="eastAsia"/>
          <w:color w:val="auto"/>
          <w:highlight w:val="none"/>
        </w:rPr>
        <w:t>（见附件</w:t>
      </w:r>
      <w:r>
        <w:rPr>
          <w:color w:val="auto"/>
          <w:highlight w:val="none"/>
        </w:rPr>
        <w:t>4</w:t>
      </w:r>
      <w:r>
        <w:rPr>
          <w:rFonts w:hint="eastAsia"/>
          <w:color w:val="auto"/>
          <w:highlight w:val="none"/>
        </w:rPr>
        <w:t>）、</w:t>
      </w:r>
      <w:bookmarkStart w:id="5" w:name="_Hlk179987661"/>
      <w:r>
        <w:rPr>
          <w:rStyle w:val="16"/>
          <w:rFonts w:hint="eastAsia"/>
          <w:color w:val="auto"/>
          <w:highlight w:val="none"/>
        </w:rPr>
        <w:t>绩效自评表</w:t>
      </w:r>
      <w:r>
        <w:rPr>
          <w:rFonts w:hint="eastAsia"/>
          <w:color w:val="auto"/>
          <w:highlight w:val="none"/>
        </w:rPr>
        <w:t>(见附件</w:t>
      </w:r>
      <w:r>
        <w:rPr>
          <w:color w:val="auto"/>
          <w:highlight w:val="none"/>
        </w:rPr>
        <w:t>5</w:t>
      </w:r>
      <w:r>
        <w:rPr>
          <w:rFonts w:hint="eastAsia"/>
          <w:color w:val="auto"/>
          <w:highlight w:val="none"/>
        </w:rPr>
        <w:t>)、</w:t>
      </w:r>
      <w:r>
        <w:rPr>
          <w:rStyle w:val="16"/>
          <w:rFonts w:hint="eastAsia"/>
          <w:color w:val="auto"/>
          <w:highlight w:val="none"/>
        </w:rPr>
        <w:t>年度审计报告</w:t>
      </w:r>
      <w:r>
        <w:rPr>
          <w:rFonts w:hint="eastAsia"/>
          <w:color w:val="auto"/>
          <w:highlight w:val="none"/>
        </w:rPr>
        <w:t>(见附件</w:t>
      </w:r>
      <w:r>
        <w:rPr>
          <w:color w:val="auto"/>
          <w:highlight w:val="none"/>
        </w:rPr>
        <w:t>6</w:t>
      </w:r>
      <w:r>
        <w:rPr>
          <w:rFonts w:hint="eastAsia"/>
          <w:color w:val="auto"/>
          <w:highlight w:val="none"/>
        </w:rPr>
        <w:t>)、</w:t>
      </w:r>
      <w:r>
        <w:rPr>
          <w:rStyle w:val="16"/>
          <w:rFonts w:hint="eastAsia"/>
          <w:color w:val="auto"/>
          <w:highlight w:val="none"/>
        </w:rPr>
        <w:t>年度监理或交工竣工验收报告</w:t>
      </w:r>
      <w:r>
        <w:rPr>
          <w:rFonts w:hint="eastAsia"/>
          <w:color w:val="auto"/>
          <w:highlight w:val="none"/>
        </w:rPr>
        <w:t>(见附件</w:t>
      </w:r>
      <w:r>
        <w:rPr>
          <w:color w:val="auto"/>
          <w:highlight w:val="none"/>
        </w:rPr>
        <w:t>7</w:t>
      </w:r>
      <w:r>
        <w:rPr>
          <w:rFonts w:hint="eastAsia"/>
          <w:color w:val="auto"/>
          <w:highlight w:val="none"/>
        </w:rPr>
        <w:t>)</w:t>
      </w:r>
      <w:bookmarkEnd w:id="5"/>
      <w:r>
        <w:rPr>
          <w:rFonts w:hint="eastAsia"/>
          <w:color w:val="auto"/>
          <w:highlight w:val="none"/>
        </w:rPr>
        <w:t>等文件。项目所属</w:t>
      </w:r>
      <w:bookmarkStart w:id="6" w:name="_Hlk179987679"/>
      <w:r>
        <w:rPr>
          <w:rFonts w:hint="eastAsia"/>
          <w:color w:val="auto"/>
          <w:highlight w:val="none"/>
        </w:rPr>
        <w:t>市直部门、区县（市）人民政府、管委会负责对建设单位提供的材料进行审核及现场勘验，完成</w:t>
      </w:r>
      <w:r>
        <w:rPr>
          <w:rStyle w:val="16"/>
          <w:rFonts w:hint="eastAsia"/>
          <w:color w:val="auto"/>
          <w:highlight w:val="none"/>
        </w:rPr>
        <w:t>年度绩效考核自评报告</w:t>
      </w:r>
      <w:bookmarkEnd w:id="6"/>
      <w:r>
        <w:rPr>
          <w:rFonts w:hint="eastAsia"/>
          <w:color w:val="auto"/>
          <w:highlight w:val="none"/>
        </w:rPr>
        <w:t>（见附件</w:t>
      </w:r>
      <w:r>
        <w:rPr>
          <w:color w:val="auto"/>
          <w:highlight w:val="none"/>
        </w:rPr>
        <w:t>8</w:t>
      </w:r>
      <w:r>
        <w:rPr>
          <w:rFonts w:hint="eastAsia"/>
          <w:color w:val="auto"/>
          <w:highlight w:val="none"/>
        </w:rPr>
        <w:t>）。</w:t>
      </w:r>
    </w:p>
    <w:p w14:paraId="3B1F86C3">
      <w:pPr>
        <w:pStyle w:val="3"/>
        <w:rPr>
          <w:color w:val="auto"/>
          <w:highlight w:val="none"/>
        </w:rPr>
      </w:pPr>
      <w:r>
        <w:rPr>
          <w:rFonts w:hint="eastAsia"/>
          <w:color w:val="auto"/>
          <w:highlight w:val="none"/>
        </w:rPr>
        <w:t>市交通运输局会同市财政局，依据项目所属市直部门、区县（市）和管委会提交的</w:t>
      </w:r>
      <w:r>
        <w:rPr>
          <w:rStyle w:val="16"/>
          <w:rFonts w:hint="eastAsia"/>
          <w:color w:val="auto"/>
          <w:highlight w:val="none"/>
        </w:rPr>
        <w:t>年度绩效考核自评报告</w:t>
      </w:r>
      <w:r>
        <w:rPr>
          <w:rFonts w:hint="eastAsia"/>
          <w:color w:val="auto"/>
          <w:highlight w:val="none"/>
        </w:rPr>
        <w:t>，对上一年度项目投资进度与工程进度进行复审，必要时可委托第三方开展绩效评价和资金审核等工作。完成绩效评估报告后，报市政府审定，并报省交通运输厅、省财政厅备案。</w:t>
      </w:r>
    </w:p>
    <w:p w14:paraId="51ECF7CC">
      <w:pPr>
        <w:pStyle w:val="3"/>
        <w:numPr>
          <w:ilvl w:val="0"/>
          <w:numId w:val="0"/>
        </w:numPr>
        <w:ind w:left="640"/>
        <w:rPr>
          <w:color w:val="auto"/>
          <w:highlight w:val="none"/>
        </w:rPr>
      </w:pPr>
    </w:p>
    <w:p w14:paraId="4FA3E989">
      <w:pPr>
        <w:pStyle w:val="2"/>
        <w:rPr>
          <w:color w:val="auto"/>
          <w:highlight w:val="none"/>
        </w:rPr>
      </w:pPr>
      <w:r>
        <w:rPr>
          <w:rFonts w:hint="eastAsia"/>
          <w:color w:val="auto"/>
          <w:highlight w:val="none"/>
        </w:rPr>
        <w:t xml:space="preserve">第五章 </w:t>
      </w:r>
      <w:r>
        <w:rPr>
          <w:color w:val="auto"/>
          <w:highlight w:val="none"/>
        </w:rPr>
        <w:t xml:space="preserve"> </w:t>
      </w:r>
      <w:r>
        <w:rPr>
          <w:rFonts w:hint="eastAsia"/>
          <w:color w:val="auto"/>
          <w:highlight w:val="none"/>
        </w:rPr>
        <w:t>资金使用管理和监督检查</w:t>
      </w:r>
    </w:p>
    <w:p w14:paraId="1458A1D0">
      <w:pPr>
        <w:pStyle w:val="3"/>
        <w:rPr>
          <w:color w:val="auto"/>
          <w:highlight w:val="none"/>
        </w:rPr>
      </w:pPr>
      <w:r>
        <w:rPr>
          <w:rFonts w:hint="eastAsia"/>
          <w:color w:val="auto"/>
          <w:highlight w:val="none"/>
        </w:rPr>
        <w:t>项目单位对项目建设实施、年度资金申请报告、绩效自评报告等材料的真实性、合法性、有效性负责，对弄虚作假骗取资金等行为，将由交通部门会同财政部门追回已拨资金，并按照有关法律、法规追究相应责任；涉嫌犯罪的，依法移交司法机关处理。</w:t>
      </w:r>
    </w:p>
    <w:p w14:paraId="5F717366">
      <w:pPr>
        <w:pStyle w:val="3"/>
        <w:rPr>
          <w:color w:val="auto"/>
          <w:highlight w:val="none"/>
        </w:rPr>
      </w:pPr>
      <w:r>
        <w:rPr>
          <w:rFonts w:hint="eastAsia"/>
          <w:color w:val="auto"/>
          <w:highlight w:val="none"/>
        </w:rPr>
        <w:t>项目建设单位应当组织做好项目推动实施，确保完成年度建设目标与投资目标。市交通运输局、市财政局对绩效目标完成情况进行动态跟踪、穿透监管，并对发现的问题及时督促整改。项目建设单位如无法完成既定建设目标或发生重大项目变更，应通过项目所属市直部门、区县（市）</w:t>
      </w:r>
      <w:r>
        <w:rPr>
          <w:rFonts w:hint="eastAsia"/>
          <w:color w:val="auto"/>
          <w:highlight w:val="none"/>
          <w:lang w:val="en-US" w:eastAsia="zh-CN"/>
        </w:rPr>
        <w:t>人民</w:t>
      </w:r>
      <w:r>
        <w:rPr>
          <w:rFonts w:hint="eastAsia"/>
          <w:color w:val="auto"/>
          <w:highlight w:val="none"/>
        </w:rPr>
        <w:t>政府、管委会向市交通运输局、市财政局及时汇报。</w:t>
      </w:r>
    </w:p>
    <w:p w14:paraId="4AC09318">
      <w:pPr>
        <w:pStyle w:val="3"/>
        <w:rPr>
          <w:color w:val="auto"/>
          <w:highlight w:val="none"/>
        </w:rPr>
      </w:pPr>
      <w:r>
        <w:rPr>
          <w:color w:val="auto"/>
          <w:highlight w:val="none"/>
        </w:rPr>
        <w:t>项目</w:t>
      </w:r>
      <w:r>
        <w:rPr>
          <w:rFonts w:hint="eastAsia"/>
          <w:color w:val="auto"/>
          <w:highlight w:val="none"/>
        </w:rPr>
        <w:t>建设</w:t>
      </w:r>
      <w:r>
        <w:rPr>
          <w:color w:val="auto"/>
          <w:highlight w:val="none"/>
        </w:rPr>
        <w:t>单位每月应至少报送</w:t>
      </w:r>
      <w:r>
        <w:rPr>
          <w:rFonts w:hint="eastAsia"/>
          <w:color w:val="auto"/>
          <w:highlight w:val="none"/>
        </w:rPr>
        <w:t>1</w:t>
      </w:r>
      <w:r>
        <w:rPr>
          <w:color w:val="auto"/>
          <w:highlight w:val="none"/>
        </w:rPr>
        <w:t>条工作推进简况，包括但不限于本月工程形象进度、绩效目标推进情况、总投资及核定投资进度、存在问题和需协调解决事项等。实施期内各项目每</w:t>
      </w:r>
      <w:r>
        <w:rPr>
          <w:rFonts w:hint="eastAsia"/>
          <w:color w:val="auto"/>
          <w:highlight w:val="none"/>
        </w:rPr>
        <w:t>季度</w:t>
      </w:r>
      <w:r>
        <w:rPr>
          <w:color w:val="auto"/>
          <w:highlight w:val="none"/>
        </w:rPr>
        <w:t>应报送不少于1篇专报信息，</w:t>
      </w:r>
      <w:r>
        <w:rPr>
          <w:rFonts w:hint="eastAsia"/>
          <w:color w:val="auto"/>
          <w:highlight w:val="none"/>
        </w:rPr>
        <w:t>在符合交通运输部要求的国家级、省级媒体发布不少于1篇新闻报告，</w:t>
      </w:r>
      <w:r>
        <w:rPr>
          <w:color w:val="auto"/>
          <w:highlight w:val="none"/>
        </w:rPr>
        <w:t>总结宣传工作亮点成效，推广应用典型经验。项目建成投产后应</w:t>
      </w:r>
      <w:r>
        <w:rPr>
          <w:rFonts w:hint="eastAsia"/>
          <w:color w:val="auto"/>
          <w:highlight w:val="none"/>
        </w:rPr>
        <w:t>按要求</w:t>
      </w:r>
      <w:r>
        <w:rPr>
          <w:color w:val="auto"/>
          <w:highlight w:val="none"/>
        </w:rPr>
        <w:t>报送竣工验收、运营情况等材料。</w:t>
      </w:r>
    </w:p>
    <w:p w14:paraId="451FBA7D">
      <w:pPr>
        <w:pStyle w:val="3"/>
        <w:rPr>
          <w:color w:val="auto"/>
          <w:highlight w:val="none"/>
        </w:rPr>
      </w:pPr>
      <w:r>
        <w:rPr>
          <w:color w:val="auto"/>
          <w:highlight w:val="none"/>
        </w:rPr>
        <w:t>市财政局、市交通运输局及</w:t>
      </w:r>
      <w:r>
        <w:rPr>
          <w:rFonts w:hint="eastAsia"/>
          <w:color w:val="auto"/>
          <w:highlight w:val="none"/>
        </w:rPr>
        <w:t>项目</w:t>
      </w:r>
      <w:r>
        <w:rPr>
          <w:color w:val="auto"/>
          <w:highlight w:val="none"/>
        </w:rPr>
        <w:t>所属市级部门、</w:t>
      </w:r>
      <w:r>
        <w:rPr>
          <w:rFonts w:hint="eastAsia"/>
          <w:color w:val="auto"/>
          <w:highlight w:val="none"/>
        </w:rPr>
        <w:t>区县（市）</w:t>
      </w:r>
      <w:r>
        <w:rPr>
          <w:rFonts w:hint="eastAsia"/>
          <w:color w:val="auto"/>
          <w:highlight w:val="none"/>
          <w:lang w:val="en-US" w:eastAsia="zh-CN"/>
        </w:rPr>
        <w:t>人民</w:t>
      </w:r>
      <w:bookmarkStart w:id="7" w:name="_GoBack"/>
      <w:bookmarkEnd w:id="7"/>
      <w:r>
        <w:rPr>
          <w:rFonts w:hint="eastAsia"/>
          <w:color w:val="auto"/>
          <w:highlight w:val="none"/>
        </w:rPr>
        <w:t>政府、管委会应加强对项目及奖补资金的管理监督。对奖补资金使用情况开展不定期抽查</w:t>
      </w:r>
      <w:r>
        <w:rPr>
          <w:color w:val="auto"/>
          <w:highlight w:val="none"/>
        </w:rPr>
        <w:t>,重点检查资金使用合规性及建设内容与申报内容是否相符，加强资金使用监管。</w:t>
      </w:r>
    </w:p>
    <w:p w14:paraId="3C4FD91F">
      <w:pPr>
        <w:pStyle w:val="3"/>
        <w:rPr>
          <w:color w:val="auto"/>
          <w:highlight w:val="none"/>
        </w:rPr>
      </w:pPr>
      <w:r>
        <w:rPr>
          <w:rFonts w:hint="eastAsia"/>
          <w:color w:val="auto"/>
          <w:highlight w:val="none"/>
        </w:rPr>
        <w:t>项目所属市直部门及区县（市）人民政府、管委会应加强奖补资金专户管理，发现项目未按计划完成核定投资，或者奖补资金存在安全风险时，应及时中止资金兑付，同时将有关情况向市交通运输局、市财政局报备。</w:t>
      </w:r>
    </w:p>
    <w:p w14:paraId="29B57CC1">
      <w:pPr>
        <w:pStyle w:val="3"/>
        <w:rPr>
          <w:color w:val="auto"/>
          <w:highlight w:val="none"/>
        </w:rPr>
      </w:pPr>
      <w:r>
        <w:rPr>
          <w:rFonts w:hint="eastAsia"/>
          <w:color w:val="auto"/>
          <w:highlight w:val="none"/>
        </w:rPr>
        <w:t>奖补资金专户内中止兑付的奖补资金，经项目所属市级部门、区县（市）人民政府、管委会确认，在一年内无法满足兑付条件的，项目建设单位须按承诺退回奖补资金。</w:t>
      </w:r>
    </w:p>
    <w:p w14:paraId="19CCF44D">
      <w:pPr>
        <w:pStyle w:val="3"/>
        <w:rPr>
          <w:color w:val="auto"/>
          <w:highlight w:val="none"/>
        </w:rPr>
      </w:pPr>
      <w:r>
        <w:rPr>
          <w:rFonts w:hint="eastAsia"/>
          <w:color w:val="auto"/>
          <w:highlight w:val="none"/>
        </w:rPr>
        <w:t>各级部门、项目建设单位</w:t>
      </w:r>
      <w:r>
        <w:rPr>
          <w:color w:val="auto"/>
          <w:highlight w:val="none"/>
        </w:rPr>
        <w:t>应按照</w:t>
      </w:r>
      <w:r>
        <w:rPr>
          <w:rFonts w:hint="eastAsia"/>
          <w:color w:val="auto"/>
          <w:highlight w:val="none"/>
        </w:rPr>
        <w:t>“</w:t>
      </w:r>
      <w:r>
        <w:rPr>
          <w:color w:val="auto"/>
          <w:highlight w:val="none"/>
        </w:rPr>
        <w:t>谁申报、谁负责</w:t>
      </w:r>
      <w:r>
        <w:rPr>
          <w:rFonts w:hint="eastAsia"/>
          <w:color w:val="auto"/>
          <w:highlight w:val="none"/>
        </w:rPr>
        <w:t>”“</w:t>
      </w:r>
      <w:r>
        <w:rPr>
          <w:color w:val="auto"/>
          <w:highlight w:val="none"/>
        </w:rPr>
        <w:t>谁使用、谁负责</w:t>
      </w:r>
      <w:r>
        <w:rPr>
          <w:rFonts w:hint="eastAsia"/>
          <w:color w:val="auto"/>
          <w:highlight w:val="none"/>
        </w:rPr>
        <w:t>”</w:t>
      </w:r>
      <w:r>
        <w:rPr>
          <w:color w:val="auto"/>
          <w:highlight w:val="none"/>
        </w:rPr>
        <w:t>的原则，按规定严格使用奖补资金，做好账务核算，将奖补资金全额投入申报内容实施，专款专用，坚决杜绝违规截留、挪用资金等现象，并自觉接受审计部门和财政部门的监督检查</w:t>
      </w:r>
      <w:r>
        <w:rPr>
          <w:rFonts w:hint="eastAsia"/>
          <w:color w:val="auto"/>
          <w:highlight w:val="none"/>
        </w:rPr>
        <w:t>。</w:t>
      </w:r>
    </w:p>
    <w:p w14:paraId="6F00CF3E">
      <w:pPr>
        <w:pStyle w:val="3"/>
        <w:rPr>
          <w:color w:val="auto"/>
          <w:highlight w:val="none"/>
        </w:rPr>
      </w:pPr>
      <w:r>
        <w:rPr>
          <w:rFonts w:hint="eastAsia"/>
          <w:bCs/>
          <w:color w:val="auto"/>
          <w:highlight w:val="none"/>
        </w:rPr>
        <w:t>各级部门</w:t>
      </w:r>
      <w:r>
        <w:rPr>
          <w:color w:val="auto"/>
          <w:highlight w:val="none"/>
        </w:rPr>
        <w:t>及项目单位有下列行为之一的，依照《财政违法行为处罚处分条例》(国务院令第427号)、《政府投资条例》(国务院令第712号)、《车辆购置税收入补助地方资金管理暂行办法》等有关规定处理，构成犯罪的，依法追究刑事责任</w:t>
      </w:r>
      <w:r>
        <w:rPr>
          <w:rFonts w:hint="eastAsia"/>
          <w:color w:val="auto"/>
          <w:highlight w:val="none"/>
        </w:rPr>
        <w:t>：</w:t>
      </w:r>
    </w:p>
    <w:p w14:paraId="0D1B7B8E">
      <w:pPr>
        <w:rPr>
          <w:color w:val="auto"/>
          <w:highlight w:val="none"/>
        </w:rPr>
      </w:pPr>
      <w:r>
        <w:rPr>
          <w:rFonts w:hint="eastAsia"/>
          <w:color w:val="auto"/>
          <w:highlight w:val="none"/>
        </w:rPr>
        <w:t>（一）</w:t>
      </w:r>
      <w:r>
        <w:rPr>
          <w:color w:val="auto"/>
          <w:highlight w:val="none"/>
        </w:rPr>
        <w:t>在奖补资金申报、使用过程中利用不正当手段套取奖补资金的</w:t>
      </w:r>
      <w:r>
        <w:rPr>
          <w:rFonts w:hint="eastAsia"/>
          <w:color w:val="auto"/>
          <w:highlight w:val="none"/>
        </w:rPr>
        <w:t>；</w:t>
      </w:r>
    </w:p>
    <w:p w14:paraId="725FBE24">
      <w:pPr>
        <w:rPr>
          <w:color w:val="auto"/>
          <w:highlight w:val="none"/>
        </w:rPr>
      </w:pPr>
      <w:r>
        <w:rPr>
          <w:rFonts w:hint="eastAsia"/>
          <w:color w:val="auto"/>
          <w:highlight w:val="none"/>
        </w:rPr>
        <w:t>（二）</w:t>
      </w:r>
      <w:r>
        <w:rPr>
          <w:color w:val="auto"/>
          <w:highlight w:val="none"/>
        </w:rPr>
        <w:t>提供虚假材料，骗取奖补资金的;</w:t>
      </w:r>
    </w:p>
    <w:p w14:paraId="5E0E56D3">
      <w:pPr>
        <w:rPr>
          <w:color w:val="auto"/>
          <w:highlight w:val="none"/>
        </w:rPr>
      </w:pPr>
      <w:r>
        <w:rPr>
          <w:rFonts w:hint="eastAsia"/>
          <w:color w:val="auto"/>
          <w:highlight w:val="none"/>
        </w:rPr>
        <w:t>（三）</w:t>
      </w:r>
      <w:r>
        <w:rPr>
          <w:color w:val="auto"/>
          <w:highlight w:val="none"/>
        </w:rPr>
        <w:t>转移、侵占或者挪用奖补资金的;</w:t>
      </w:r>
    </w:p>
    <w:p w14:paraId="6725BE48">
      <w:pPr>
        <w:rPr>
          <w:color w:val="auto"/>
          <w:highlight w:val="none"/>
        </w:rPr>
      </w:pPr>
      <w:r>
        <w:rPr>
          <w:rFonts w:hint="eastAsia"/>
          <w:color w:val="auto"/>
          <w:highlight w:val="none"/>
        </w:rPr>
        <w:t>（四）</w:t>
      </w:r>
      <w:r>
        <w:rPr>
          <w:color w:val="auto"/>
          <w:highlight w:val="none"/>
        </w:rPr>
        <w:t>擅自对使用奖补资金的建设内容或标准进行重大调整，导致项目不再满足主要技术和服务功能要求的;</w:t>
      </w:r>
    </w:p>
    <w:p w14:paraId="2E01C3FF">
      <w:pPr>
        <w:rPr>
          <w:color w:val="auto"/>
          <w:highlight w:val="none"/>
        </w:rPr>
      </w:pPr>
      <w:r>
        <w:rPr>
          <w:rFonts w:hint="eastAsia"/>
          <w:color w:val="auto"/>
          <w:highlight w:val="none"/>
        </w:rPr>
        <w:t>（五）</w:t>
      </w:r>
      <w:r>
        <w:rPr>
          <w:color w:val="auto"/>
          <w:highlight w:val="none"/>
        </w:rPr>
        <w:t>其他违反国家法律法规及本细则规定的行为。</w:t>
      </w:r>
    </w:p>
    <w:p w14:paraId="14C8E06F">
      <w:pPr>
        <w:rPr>
          <w:color w:val="auto"/>
          <w:highlight w:val="none"/>
        </w:rPr>
      </w:pPr>
    </w:p>
    <w:p w14:paraId="7956D125">
      <w:pPr>
        <w:pStyle w:val="2"/>
        <w:rPr>
          <w:color w:val="auto"/>
          <w:highlight w:val="none"/>
        </w:rPr>
      </w:pPr>
      <w:r>
        <w:rPr>
          <w:rFonts w:hint="eastAsia"/>
          <w:color w:val="auto"/>
          <w:highlight w:val="none"/>
        </w:rPr>
        <w:t xml:space="preserve">第六章 </w:t>
      </w:r>
      <w:r>
        <w:rPr>
          <w:color w:val="auto"/>
          <w:highlight w:val="none"/>
        </w:rPr>
        <w:t xml:space="preserve"> 附则</w:t>
      </w:r>
    </w:p>
    <w:p w14:paraId="12A27BF2">
      <w:pPr>
        <w:pStyle w:val="3"/>
        <w:rPr>
          <w:color w:val="auto"/>
          <w:highlight w:val="none"/>
        </w:rPr>
      </w:pPr>
      <w:r>
        <w:rPr>
          <w:rFonts w:hint="eastAsia"/>
          <w:color w:val="auto"/>
          <w:highlight w:val="none"/>
        </w:rPr>
        <w:t>本细则由市财政局、市交通运输局负责解释。</w:t>
      </w:r>
    </w:p>
    <w:p w14:paraId="7E799DFF">
      <w:pPr>
        <w:pStyle w:val="3"/>
        <w:rPr>
          <w:color w:val="auto"/>
          <w:highlight w:val="none"/>
        </w:rPr>
      </w:pPr>
      <w:r>
        <w:rPr>
          <w:color w:val="auto"/>
          <w:highlight w:val="none"/>
        </w:rPr>
        <w:t>本细则自发布之日起施行。实施期限依据国家综合货运枢纽补链强链政策期限确定。</w:t>
      </w:r>
    </w:p>
    <w:p w14:paraId="2FACDE23">
      <w:pPr>
        <w:pStyle w:val="24"/>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color w:val="auto"/>
          <w:highlight w:val="none"/>
        </w:rPr>
        <w:t xml:space="preserve">           </w:t>
      </w:r>
    </w:p>
    <w:p w14:paraId="1AAF2A7D">
      <w:pPr>
        <w:pStyle w:val="24"/>
        <w:rPr>
          <w:color w:val="auto"/>
          <w:highlight w:val="none"/>
        </w:rPr>
      </w:pPr>
      <w:r>
        <w:rPr>
          <w:rFonts w:hint="eastAsia"/>
          <w:color w:val="auto"/>
          <w:highlight w:val="none"/>
        </w:rPr>
        <w:t>附件1：</w:t>
      </w:r>
    </w:p>
    <w:p w14:paraId="4503AC39">
      <w:pPr>
        <w:pStyle w:val="5"/>
        <w:rPr>
          <w:color w:val="auto"/>
          <w:highlight w:val="none"/>
        </w:rPr>
      </w:pPr>
      <w:r>
        <w:rPr>
          <w:rFonts w:hint="eastAsia"/>
          <w:color w:val="auto"/>
          <w:highlight w:val="none"/>
        </w:rPr>
        <w:t>X</w:t>
      </w:r>
      <w:r>
        <w:rPr>
          <w:color w:val="auto"/>
          <w:highlight w:val="none"/>
        </w:rPr>
        <w:t>XX</w:t>
      </w:r>
      <w:r>
        <w:rPr>
          <w:rFonts w:hint="eastAsia"/>
          <w:color w:val="auto"/>
          <w:highlight w:val="none"/>
        </w:rPr>
        <w:t>项目奖补资金申请报告编制提纲</w:t>
      </w:r>
    </w:p>
    <w:p w14:paraId="38F2ED96">
      <w:pPr>
        <w:pStyle w:val="33"/>
        <w:rPr>
          <w:color w:val="auto"/>
          <w:highlight w:val="none"/>
        </w:rPr>
      </w:pPr>
      <w:r>
        <w:rPr>
          <w:rFonts w:hint="eastAsia"/>
          <w:color w:val="auto"/>
          <w:highlight w:val="none"/>
        </w:rPr>
        <w:t>（综合货运枢纽、集疏运体系、信息化平台类建设项目）</w:t>
      </w:r>
    </w:p>
    <w:p w14:paraId="5A915607">
      <w:pPr>
        <w:rPr>
          <w:color w:val="auto"/>
          <w:highlight w:val="none"/>
        </w:rPr>
      </w:pPr>
    </w:p>
    <w:p w14:paraId="149E2FC6">
      <w:pPr>
        <w:pStyle w:val="35"/>
        <w:rPr>
          <w:color w:val="auto"/>
          <w:highlight w:val="none"/>
        </w:rPr>
      </w:pPr>
      <w:r>
        <w:rPr>
          <w:color w:val="auto"/>
          <w:highlight w:val="none"/>
        </w:rPr>
        <w:t>一</w:t>
      </w:r>
      <w:r>
        <w:rPr>
          <w:rFonts w:hint="eastAsia"/>
          <w:color w:val="auto"/>
          <w:highlight w:val="none"/>
        </w:rPr>
        <w:t>、项目单位基本情况</w:t>
      </w:r>
    </w:p>
    <w:p w14:paraId="139B819E">
      <w:pPr>
        <w:rPr>
          <w:color w:val="auto"/>
          <w:highlight w:val="none"/>
        </w:rPr>
      </w:pPr>
      <w:r>
        <w:rPr>
          <w:rFonts w:hint="eastAsia"/>
          <w:color w:val="auto"/>
          <w:highlight w:val="none"/>
        </w:rPr>
        <w:t>项目法人单位基本情况、所有制性质、主要股权单位概况、主营业务、基本财务（含债务风险）和信用情况等。新成立的法人单位需介绍主要股权单位主营业务及上述财务情况。</w:t>
      </w:r>
    </w:p>
    <w:p w14:paraId="4FC85733">
      <w:pPr>
        <w:pStyle w:val="35"/>
        <w:rPr>
          <w:color w:val="auto"/>
          <w:highlight w:val="none"/>
        </w:rPr>
      </w:pPr>
      <w:r>
        <w:rPr>
          <w:rFonts w:hint="eastAsia"/>
          <w:color w:val="auto"/>
          <w:highlight w:val="none"/>
        </w:rPr>
        <w:t>二、项目建设基本情况</w:t>
      </w:r>
    </w:p>
    <w:p w14:paraId="53C62055">
      <w:pPr>
        <w:pStyle w:val="37"/>
        <w:rPr>
          <w:color w:val="auto"/>
          <w:highlight w:val="none"/>
        </w:rPr>
      </w:pPr>
      <w:r>
        <w:rPr>
          <w:rFonts w:hint="eastAsia"/>
          <w:color w:val="auto"/>
          <w:highlight w:val="none"/>
        </w:rPr>
        <w:t>（一）项目类型及功能</w:t>
      </w:r>
    </w:p>
    <w:p w14:paraId="72D350CA">
      <w:pPr>
        <w:rPr>
          <w:color w:val="auto"/>
          <w:highlight w:val="none"/>
        </w:rPr>
      </w:pPr>
      <w:r>
        <w:rPr>
          <w:rFonts w:hint="eastAsia"/>
          <w:color w:val="auto"/>
          <w:highlight w:val="none"/>
        </w:rPr>
        <w:t>结合《国家综合货运枢纽补链强链技术指引（暂行）》中申报项目的主要技术和服务功能要求，说明项目建设背景与必要性、发展定位与目标（若有）、项目类型、主要功能（针对服务对象，对综合货运补链强链、区域经济、产业发展等方面的作用和影响）等其他证明材料。</w:t>
      </w:r>
    </w:p>
    <w:p w14:paraId="2FCF5583">
      <w:pPr>
        <w:pStyle w:val="37"/>
        <w:rPr>
          <w:color w:val="auto"/>
          <w:highlight w:val="none"/>
        </w:rPr>
      </w:pPr>
      <w:r>
        <w:rPr>
          <w:rFonts w:hint="eastAsia"/>
          <w:color w:val="auto"/>
          <w:highlight w:val="none"/>
        </w:rPr>
        <w:t>（二）建设条件落实情况</w:t>
      </w:r>
    </w:p>
    <w:p w14:paraId="40104D72">
      <w:pPr>
        <w:rPr>
          <w:color w:val="auto"/>
          <w:highlight w:val="none"/>
        </w:rPr>
      </w:pPr>
      <w:r>
        <w:rPr>
          <w:rFonts w:hint="eastAsia"/>
          <w:color w:val="auto"/>
          <w:highlight w:val="none"/>
        </w:rPr>
        <w:t>说明项目纳入地市级（含）以上所属规划的情况；项目的前期批复情况（审批制项目的可行性研究报告和初步设计批复文件、核准制项目申请报告和备案制项目备案文件的批复情况）；项目建设用地落实情况；项目建设规划许可情况；项目环境影响评价、节能评估审查情况；项目前期建设施工情况（2023年前已启动项目建设完成概况，若有）等其他证明材料。</w:t>
      </w:r>
    </w:p>
    <w:p w14:paraId="4C77D37F">
      <w:pPr>
        <w:pStyle w:val="37"/>
        <w:rPr>
          <w:color w:val="auto"/>
          <w:highlight w:val="none"/>
        </w:rPr>
      </w:pPr>
      <w:r>
        <w:rPr>
          <w:rFonts w:hint="eastAsia"/>
          <w:color w:val="auto"/>
          <w:highlight w:val="none"/>
        </w:rPr>
        <w:t>（三）项目总体建设方案</w:t>
      </w:r>
    </w:p>
    <w:p w14:paraId="2BF99B1C">
      <w:pPr>
        <w:rPr>
          <w:color w:val="auto"/>
          <w:highlight w:val="none"/>
        </w:rPr>
      </w:pPr>
      <w:r>
        <w:rPr>
          <w:rFonts w:hint="eastAsia"/>
          <w:color w:val="auto"/>
          <w:highlight w:val="none"/>
        </w:rPr>
        <w:t>1.说明不同类型项目的建设方案</w:t>
      </w:r>
    </w:p>
    <w:p w14:paraId="21C05133">
      <w:pPr>
        <w:rPr>
          <w:color w:val="auto"/>
          <w:highlight w:val="none"/>
        </w:rPr>
      </w:pPr>
      <w:r>
        <w:rPr>
          <w:rFonts w:hint="eastAsia"/>
          <w:color w:val="auto"/>
          <w:highlight w:val="none"/>
        </w:rPr>
        <w:t>综合货运枢纽项目。说明项目的设计年限、设计能力、建设内容与规模、总平面布置方案、土建与市政配套工程、对外交通衔接方案、建设开发模式等。</w:t>
      </w:r>
    </w:p>
    <w:p w14:paraId="69F7C4B3">
      <w:pPr>
        <w:rPr>
          <w:color w:val="auto"/>
          <w:highlight w:val="none"/>
        </w:rPr>
      </w:pPr>
      <w:r>
        <w:rPr>
          <w:rFonts w:hint="eastAsia"/>
          <w:color w:val="auto"/>
          <w:highlight w:val="none"/>
        </w:rPr>
        <w:t>集疏运项目。说明项目的设计运输能力、建设内容与规模、路线方案、所衔接的场站（空港、陆港、铁路站、物流园区）及对应场站的货物吞吐能力等。</w:t>
      </w:r>
    </w:p>
    <w:p w14:paraId="6142098D">
      <w:pPr>
        <w:rPr>
          <w:color w:val="auto"/>
          <w:highlight w:val="none"/>
        </w:rPr>
      </w:pPr>
      <w:r>
        <w:rPr>
          <w:rFonts w:hint="eastAsia"/>
          <w:color w:val="auto"/>
          <w:highlight w:val="none"/>
        </w:rPr>
        <w:t>信息化建设项目。说明项目的总体设计构架、信息安全保障方案及采用标准等。</w:t>
      </w:r>
    </w:p>
    <w:p w14:paraId="3D755019">
      <w:pPr>
        <w:rPr>
          <w:color w:val="auto"/>
          <w:highlight w:val="none"/>
        </w:rPr>
      </w:pPr>
      <w:r>
        <w:rPr>
          <w:rFonts w:hint="eastAsia"/>
          <w:color w:val="auto"/>
          <w:highlight w:val="none"/>
        </w:rPr>
        <w:t>2.说明项目建设工期及建设进度</w:t>
      </w:r>
    </w:p>
    <w:p w14:paraId="588E9BCF">
      <w:pPr>
        <w:rPr>
          <w:color w:val="auto"/>
          <w:highlight w:val="none"/>
        </w:rPr>
      </w:pPr>
      <w:r>
        <w:rPr>
          <w:rFonts w:hint="eastAsia"/>
          <w:color w:val="auto"/>
          <w:highlight w:val="none"/>
        </w:rPr>
        <w:t>说明项目总体及实施期内的建设工期、进度安排和目前实际建设进度（附现场照片）等其他证明材料。</w:t>
      </w:r>
    </w:p>
    <w:p w14:paraId="71FC2E09">
      <w:pPr>
        <w:pStyle w:val="35"/>
        <w:rPr>
          <w:color w:val="auto"/>
          <w:highlight w:val="none"/>
        </w:rPr>
      </w:pPr>
      <w:r>
        <w:rPr>
          <w:rFonts w:hint="eastAsia"/>
          <w:color w:val="auto"/>
          <w:highlight w:val="none"/>
        </w:rPr>
        <w:t>三、项目投资概算及筹资方案</w:t>
      </w:r>
    </w:p>
    <w:p w14:paraId="727F074D">
      <w:pPr>
        <w:rPr>
          <w:color w:val="auto"/>
          <w:highlight w:val="none"/>
        </w:rPr>
      </w:pPr>
      <w:r>
        <w:rPr>
          <w:rFonts w:hint="eastAsia"/>
          <w:color w:val="auto"/>
          <w:highlight w:val="none"/>
        </w:rPr>
        <w:t>给出项目总投资概算表、使用奖补资金的建设内容概算表，项目实施期内每年度的总投资及核定投资计划；说明项目筹资方案、资本金比例及资金落实情况（含已经完成投资情况，若有）以及其他证明材料。</w:t>
      </w:r>
    </w:p>
    <w:p w14:paraId="0E4814E1">
      <w:pPr>
        <w:pStyle w:val="35"/>
        <w:keepNext/>
        <w:rPr>
          <w:color w:val="auto"/>
          <w:highlight w:val="none"/>
        </w:rPr>
      </w:pPr>
      <w:r>
        <w:rPr>
          <w:rFonts w:hint="eastAsia"/>
          <w:color w:val="auto"/>
          <w:highlight w:val="none"/>
        </w:rPr>
        <w:t>四、年度项目奖补资金申请</w:t>
      </w:r>
    </w:p>
    <w:p w14:paraId="7E55B19C">
      <w:pPr>
        <w:rPr>
          <w:color w:val="auto"/>
          <w:highlight w:val="none"/>
        </w:rPr>
      </w:pPr>
      <w:r>
        <w:rPr>
          <w:rFonts w:hint="eastAsia"/>
          <w:color w:val="auto"/>
          <w:highlight w:val="none"/>
        </w:rPr>
        <w:t>说明项目本年度拟申请中央奖补资金额度，并说明奖补资金拟投向的主要建设内容、建设标准、计划投资及其他证明材料。若为已完工项目说明奖补资金支付用途。</w:t>
      </w:r>
    </w:p>
    <w:p w14:paraId="388B9E84">
      <w:pPr>
        <w:pStyle w:val="35"/>
        <w:rPr>
          <w:color w:val="auto"/>
          <w:highlight w:val="none"/>
        </w:rPr>
      </w:pPr>
      <w:r>
        <w:rPr>
          <w:rFonts w:hint="eastAsia"/>
          <w:color w:val="auto"/>
          <w:highlight w:val="none"/>
        </w:rPr>
        <w:t>五、附件</w:t>
      </w:r>
    </w:p>
    <w:p w14:paraId="5F4CF6B5">
      <w:pPr>
        <w:rPr>
          <w:color w:val="auto"/>
          <w:highlight w:val="none"/>
        </w:rPr>
      </w:pPr>
      <w:r>
        <w:rPr>
          <w:rFonts w:hint="eastAsia"/>
          <w:color w:val="auto"/>
          <w:highlight w:val="none"/>
        </w:rPr>
        <w:t>1.项目建设单位根据项目具体情况，提供项目实施应具备的合法、有效的前期手续，如项目可行性研究报告和批复、项目核准批复、项目备案意见；建设用地规划许可证和建设工程规划许可证；法定不动产权属证书或国有土地使用权出让合同或国有建设用地划拨决定书；建筑工程施工许可证等。</w:t>
      </w:r>
    </w:p>
    <w:p w14:paraId="26A165E8">
      <w:pPr>
        <w:rPr>
          <w:color w:val="auto"/>
          <w:highlight w:val="none"/>
        </w:rPr>
      </w:pPr>
      <w:r>
        <w:rPr>
          <w:rFonts w:hint="eastAsia"/>
          <w:color w:val="auto"/>
          <w:highlight w:val="none"/>
        </w:rPr>
        <w:t>2.项目建设单位自筹资金到位情况证明文件。</w:t>
      </w:r>
    </w:p>
    <w:p w14:paraId="18CF3B31">
      <w:pPr>
        <w:rPr>
          <w:color w:val="auto"/>
          <w:highlight w:val="none"/>
        </w:rPr>
      </w:pPr>
      <w:r>
        <w:rPr>
          <w:rFonts w:hint="eastAsia"/>
          <w:color w:val="auto"/>
          <w:highlight w:val="none"/>
        </w:rPr>
        <w:t>3.项目建设单位国家综合货运枢纽补链强链奖补资金申报承诺书。</w:t>
      </w:r>
    </w:p>
    <w:p w14:paraId="611E8C55">
      <w:pPr>
        <w:rPr>
          <w:color w:val="auto"/>
          <w:highlight w:val="none"/>
        </w:rPr>
      </w:pPr>
      <w:r>
        <w:rPr>
          <w:rFonts w:hint="eastAsia"/>
          <w:color w:val="auto"/>
          <w:highlight w:val="none"/>
        </w:rPr>
        <w:t>4.项目法人单位营业执照。</w:t>
      </w:r>
    </w:p>
    <w:p w14:paraId="6BFA884B">
      <w:pPr>
        <w:rPr>
          <w:color w:val="auto"/>
          <w:highlight w:val="none"/>
        </w:rPr>
      </w:pPr>
      <w:r>
        <w:rPr>
          <w:rFonts w:hint="eastAsia"/>
          <w:color w:val="auto"/>
          <w:highlight w:val="none"/>
        </w:rPr>
        <w:t>5.具备财务审计资质的第三方出具的项目审计报告及相关合同、付款凭证（不低于企业承担的核定投资额度）等证明材料。项目审计报告应重点对核定投资使用方向、额度，资金兑现情况进行说明。</w:t>
      </w:r>
    </w:p>
    <w:p w14:paraId="054BA946">
      <w:pPr>
        <w:rPr>
          <w:color w:val="auto"/>
          <w:highlight w:val="none"/>
        </w:rPr>
      </w:pPr>
      <w:r>
        <w:rPr>
          <w:rFonts w:hint="eastAsia"/>
          <w:color w:val="auto"/>
          <w:highlight w:val="none"/>
        </w:rPr>
        <w:t>6.具备工程监理资质的第三方出具的项目建设形象进度报告及证明材料。</w:t>
      </w:r>
    </w:p>
    <w:p w14:paraId="42A99801">
      <w:pPr>
        <w:rPr>
          <w:color w:val="auto"/>
          <w:highlight w:val="none"/>
        </w:rPr>
      </w:pPr>
      <w:r>
        <w:rPr>
          <w:color w:val="auto"/>
          <w:highlight w:val="none"/>
        </w:rPr>
        <w:t>7.</w:t>
      </w:r>
      <w:r>
        <w:rPr>
          <w:rFonts w:hint="eastAsia"/>
          <w:color w:val="auto"/>
          <w:highlight w:val="none"/>
        </w:rPr>
        <w:t>本年度承诺完成剩余计划核定投资明细表。</w:t>
      </w:r>
    </w:p>
    <w:p w14:paraId="7F393354">
      <w:pPr>
        <w:rPr>
          <w:color w:val="auto"/>
          <w:highlight w:val="none"/>
        </w:rPr>
      </w:pPr>
      <w:r>
        <w:rPr>
          <w:color w:val="auto"/>
          <w:highlight w:val="none"/>
        </w:rPr>
        <w:t>8</w:t>
      </w:r>
      <w:r>
        <w:rPr>
          <w:rFonts w:hint="eastAsia"/>
          <w:color w:val="auto"/>
          <w:highlight w:val="none"/>
        </w:rPr>
        <w:t>.其他必要佐证材料。</w:t>
      </w:r>
    </w:p>
    <w:p w14:paraId="4482AEB4">
      <w:pPr>
        <w:rPr>
          <w:color w:val="auto"/>
          <w:highlight w:val="none"/>
        </w:rPr>
        <w:sectPr>
          <w:pgSz w:w="11906" w:h="16838"/>
          <w:pgMar w:top="1440" w:right="1800" w:bottom="1440" w:left="1800" w:header="851" w:footer="992" w:gutter="0"/>
          <w:cols w:space="425" w:num="1"/>
          <w:docGrid w:type="lines" w:linePitch="312" w:charSpace="0"/>
        </w:sectPr>
      </w:pPr>
    </w:p>
    <w:p w14:paraId="1E4D3A63">
      <w:pPr>
        <w:pStyle w:val="5"/>
        <w:rPr>
          <w:color w:val="auto"/>
          <w:highlight w:val="none"/>
        </w:rPr>
      </w:pPr>
      <w:r>
        <w:rPr>
          <w:rFonts w:hint="eastAsia"/>
          <w:color w:val="auto"/>
          <w:highlight w:val="none"/>
        </w:rPr>
        <w:t>XXX项目奖补资金申请报告编制提纲</w:t>
      </w:r>
    </w:p>
    <w:p w14:paraId="13C59C7E">
      <w:pPr>
        <w:pStyle w:val="33"/>
        <w:rPr>
          <w:color w:val="auto"/>
          <w:highlight w:val="none"/>
        </w:rPr>
      </w:pPr>
      <w:r>
        <w:rPr>
          <w:rFonts w:hint="eastAsia"/>
          <w:color w:val="auto"/>
          <w:highlight w:val="none"/>
        </w:rPr>
        <w:t>（设备更新类建设项目）</w:t>
      </w:r>
    </w:p>
    <w:p w14:paraId="1F115C4D">
      <w:pPr>
        <w:rPr>
          <w:color w:val="auto"/>
          <w:highlight w:val="none"/>
        </w:rPr>
      </w:pPr>
    </w:p>
    <w:p w14:paraId="780EB73B">
      <w:pPr>
        <w:pStyle w:val="35"/>
        <w:rPr>
          <w:color w:val="auto"/>
          <w:highlight w:val="none"/>
        </w:rPr>
      </w:pPr>
      <w:r>
        <w:rPr>
          <w:rFonts w:hint="eastAsia"/>
          <w:color w:val="auto"/>
          <w:highlight w:val="none"/>
        </w:rPr>
        <w:t>一、项目单位基本情况</w:t>
      </w:r>
    </w:p>
    <w:p w14:paraId="67985AA7">
      <w:pPr>
        <w:rPr>
          <w:color w:val="auto"/>
          <w:highlight w:val="none"/>
        </w:rPr>
      </w:pPr>
      <w:r>
        <w:rPr>
          <w:rFonts w:hint="eastAsia"/>
          <w:color w:val="auto"/>
          <w:highlight w:val="none"/>
        </w:rPr>
        <w:t>项目法人单位基本情况、所有制性质、主要股权单位概况、主营业务、基本财务和信用情况等。新成立的法人单位需介绍主要股权单位主营业务及上述财务情况。</w:t>
      </w:r>
    </w:p>
    <w:p w14:paraId="5ADA9B33">
      <w:pPr>
        <w:pStyle w:val="35"/>
        <w:rPr>
          <w:color w:val="auto"/>
          <w:highlight w:val="none"/>
        </w:rPr>
      </w:pPr>
      <w:r>
        <w:rPr>
          <w:rFonts w:hint="eastAsia"/>
          <w:color w:val="auto"/>
          <w:highlight w:val="none"/>
        </w:rPr>
        <w:t>二、项目建设基本情况</w:t>
      </w:r>
    </w:p>
    <w:p w14:paraId="0F80C7E6">
      <w:pPr>
        <w:pStyle w:val="37"/>
        <w:rPr>
          <w:color w:val="auto"/>
          <w:highlight w:val="none"/>
        </w:rPr>
      </w:pPr>
      <w:r>
        <w:rPr>
          <w:rFonts w:hint="eastAsia"/>
          <w:color w:val="auto"/>
          <w:highlight w:val="none"/>
        </w:rPr>
        <w:t>（一）项目功能及作用</w:t>
      </w:r>
    </w:p>
    <w:p w14:paraId="5A818A43">
      <w:pPr>
        <w:rPr>
          <w:color w:val="auto"/>
          <w:highlight w:val="none"/>
        </w:rPr>
      </w:pPr>
      <w:r>
        <w:rPr>
          <w:rFonts w:hint="eastAsia"/>
          <w:color w:val="auto"/>
          <w:highlight w:val="none"/>
        </w:rPr>
        <w:t>阐述设备更新的背景，结合《国家综合货运枢纽补链强链技术指引》，说明项目设备更新升级方面“围绕货运装备标准化、智能化、绿色化发展，推广应用专业化多式联运设备和跨方式快速换装转运的装卸、分拣设施及标准化载运单元，鼓励配备符合低碳目标的作业设施、新能源货车和全货运机型等”要求的符合性，说明本项目与相对应综合货运枢纽的关系及功能，以及对区域经济、产业发展、综合交通运输发展、物流服务体系建设、综合货运补链强链等方面的作用和影响。</w:t>
      </w:r>
    </w:p>
    <w:p w14:paraId="36A1FFA9">
      <w:pPr>
        <w:pStyle w:val="37"/>
        <w:rPr>
          <w:color w:val="auto"/>
          <w:highlight w:val="none"/>
        </w:rPr>
      </w:pPr>
      <w:r>
        <w:rPr>
          <w:rFonts w:hint="eastAsia"/>
          <w:color w:val="auto"/>
          <w:highlight w:val="none"/>
        </w:rPr>
        <w:t>（二）设备更新条件落实情况</w:t>
      </w:r>
    </w:p>
    <w:p w14:paraId="7FD9CFA1">
      <w:pPr>
        <w:rPr>
          <w:color w:val="auto"/>
          <w:highlight w:val="none"/>
        </w:rPr>
      </w:pPr>
      <w:r>
        <w:rPr>
          <w:rFonts w:hint="eastAsia"/>
          <w:color w:val="auto"/>
          <w:highlight w:val="none"/>
        </w:rPr>
        <w:t>提供所服务的综合货运枢纽项目建设进展情况以及相关手续办理情况（设备更新采购合同情况等）。</w:t>
      </w:r>
    </w:p>
    <w:p w14:paraId="61FF6080">
      <w:pPr>
        <w:pStyle w:val="37"/>
        <w:rPr>
          <w:color w:val="auto"/>
          <w:highlight w:val="none"/>
        </w:rPr>
      </w:pPr>
      <w:r>
        <w:rPr>
          <w:rFonts w:hint="eastAsia"/>
          <w:color w:val="auto"/>
          <w:highlight w:val="none"/>
        </w:rPr>
        <w:t>（三）项目总体建设方案</w:t>
      </w:r>
    </w:p>
    <w:p w14:paraId="1D260903">
      <w:pPr>
        <w:rPr>
          <w:color w:val="auto"/>
          <w:highlight w:val="none"/>
        </w:rPr>
      </w:pPr>
      <w:r>
        <w:rPr>
          <w:rFonts w:hint="eastAsia"/>
          <w:color w:val="auto"/>
          <w:highlight w:val="none"/>
        </w:rPr>
        <w:t>1.设备更新购置方案</w:t>
      </w:r>
    </w:p>
    <w:p w14:paraId="57346AE4">
      <w:pPr>
        <w:rPr>
          <w:color w:val="auto"/>
          <w:highlight w:val="none"/>
        </w:rPr>
      </w:pPr>
      <w:r>
        <w:rPr>
          <w:rFonts w:hint="eastAsia"/>
          <w:color w:val="auto"/>
          <w:highlight w:val="none"/>
        </w:rPr>
        <w:t>说明设备购置更新目标、购置更新内容及规模、经济技术指标表等。</w:t>
      </w:r>
    </w:p>
    <w:p w14:paraId="10F58C84">
      <w:pPr>
        <w:rPr>
          <w:color w:val="auto"/>
          <w:highlight w:val="none"/>
        </w:rPr>
      </w:pPr>
      <w:r>
        <w:rPr>
          <w:rFonts w:hint="eastAsia"/>
          <w:color w:val="auto"/>
          <w:highlight w:val="none"/>
        </w:rPr>
        <w:t>2.设备更新购置工期及建设进度</w:t>
      </w:r>
    </w:p>
    <w:p w14:paraId="371C55B5">
      <w:pPr>
        <w:rPr>
          <w:color w:val="auto"/>
          <w:highlight w:val="none"/>
        </w:rPr>
      </w:pPr>
      <w:r>
        <w:rPr>
          <w:rFonts w:hint="eastAsia"/>
          <w:color w:val="auto"/>
          <w:highlight w:val="none"/>
        </w:rPr>
        <w:t>说明项目总体及实施期内设备更新购置工期、进度安排。</w:t>
      </w:r>
    </w:p>
    <w:p w14:paraId="5510CB9B">
      <w:pPr>
        <w:pStyle w:val="35"/>
        <w:rPr>
          <w:color w:val="auto"/>
          <w:highlight w:val="none"/>
        </w:rPr>
      </w:pPr>
      <w:r>
        <w:rPr>
          <w:rFonts w:hint="eastAsia"/>
          <w:color w:val="auto"/>
          <w:highlight w:val="none"/>
        </w:rPr>
        <w:t>三、项目投资概算及筹资方案</w:t>
      </w:r>
    </w:p>
    <w:p w14:paraId="005FE4C3">
      <w:pPr>
        <w:rPr>
          <w:color w:val="auto"/>
          <w:highlight w:val="none"/>
        </w:rPr>
      </w:pPr>
      <w:r>
        <w:rPr>
          <w:rFonts w:hint="eastAsia"/>
          <w:color w:val="auto"/>
          <w:highlight w:val="none"/>
        </w:rPr>
        <w:t>给出项目总投资概算表，项目实施期内每年度的总投资及核定投资计划；说明项目筹资方案、资本金比例及资金落实情况。</w:t>
      </w:r>
    </w:p>
    <w:p w14:paraId="79D7AC15">
      <w:pPr>
        <w:pStyle w:val="35"/>
        <w:rPr>
          <w:color w:val="auto"/>
          <w:highlight w:val="none"/>
        </w:rPr>
      </w:pPr>
      <w:r>
        <w:rPr>
          <w:rFonts w:hint="eastAsia"/>
          <w:color w:val="auto"/>
          <w:highlight w:val="none"/>
        </w:rPr>
        <w:t>四、</w:t>
      </w:r>
      <w:r>
        <w:rPr>
          <w:color w:val="auto"/>
          <w:highlight w:val="none"/>
        </w:rPr>
        <w:t>年</w:t>
      </w:r>
      <w:r>
        <w:rPr>
          <w:rFonts w:hint="eastAsia"/>
          <w:color w:val="auto"/>
          <w:highlight w:val="none"/>
        </w:rPr>
        <w:t>度</w:t>
      </w:r>
      <w:r>
        <w:rPr>
          <w:color w:val="auto"/>
          <w:highlight w:val="none"/>
        </w:rPr>
        <w:t>项目奖补资金申请</w:t>
      </w:r>
    </w:p>
    <w:p w14:paraId="61F19804">
      <w:pPr>
        <w:rPr>
          <w:color w:val="auto"/>
          <w:highlight w:val="none"/>
        </w:rPr>
      </w:pPr>
      <w:r>
        <w:rPr>
          <w:rFonts w:hint="eastAsia"/>
          <w:color w:val="auto"/>
          <w:highlight w:val="none"/>
        </w:rPr>
        <w:t>说明项目本年度申请资金补助额度、投入方向和理由（奖补资金拟投向的主要购置更新内容）。若已完成采购，说明奖补资金支付用途。</w:t>
      </w:r>
    </w:p>
    <w:p w14:paraId="0C61B962">
      <w:pPr>
        <w:pStyle w:val="35"/>
        <w:rPr>
          <w:color w:val="auto"/>
          <w:highlight w:val="none"/>
        </w:rPr>
      </w:pPr>
      <w:r>
        <w:rPr>
          <w:rFonts w:hint="eastAsia"/>
          <w:color w:val="auto"/>
          <w:highlight w:val="none"/>
        </w:rPr>
        <w:t>五、附件</w:t>
      </w:r>
    </w:p>
    <w:p w14:paraId="1C11959B">
      <w:pPr>
        <w:rPr>
          <w:color w:val="auto"/>
          <w:highlight w:val="none"/>
        </w:rPr>
      </w:pPr>
      <w:r>
        <w:rPr>
          <w:rFonts w:hint="eastAsia"/>
          <w:color w:val="auto"/>
          <w:highlight w:val="none"/>
        </w:rPr>
        <w:t>1.项目建设单位设备采购计划。</w:t>
      </w:r>
    </w:p>
    <w:p w14:paraId="69A52D34">
      <w:pPr>
        <w:rPr>
          <w:color w:val="auto"/>
          <w:highlight w:val="none"/>
        </w:rPr>
      </w:pPr>
      <w:r>
        <w:rPr>
          <w:rFonts w:hint="eastAsia"/>
          <w:color w:val="auto"/>
          <w:highlight w:val="none"/>
        </w:rPr>
        <w:t>2.项目建设单位自筹资金到位情况证明文件。</w:t>
      </w:r>
    </w:p>
    <w:p w14:paraId="00C41230">
      <w:pPr>
        <w:rPr>
          <w:color w:val="auto"/>
          <w:highlight w:val="none"/>
        </w:rPr>
      </w:pPr>
      <w:r>
        <w:rPr>
          <w:rFonts w:hint="eastAsia"/>
          <w:color w:val="auto"/>
          <w:highlight w:val="none"/>
        </w:rPr>
        <w:t>3.项目建设单位国家综合货运枢纽补链强链奖补资金申报承诺书。</w:t>
      </w:r>
    </w:p>
    <w:p w14:paraId="7CFA7D4C">
      <w:pPr>
        <w:rPr>
          <w:color w:val="auto"/>
          <w:highlight w:val="none"/>
        </w:rPr>
      </w:pPr>
      <w:r>
        <w:rPr>
          <w:rFonts w:hint="eastAsia"/>
          <w:color w:val="auto"/>
          <w:highlight w:val="none"/>
        </w:rPr>
        <w:t>4.项目法人单位营业执照。</w:t>
      </w:r>
    </w:p>
    <w:p w14:paraId="30A5BFDA">
      <w:pPr>
        <w:rPr>
          <w:color w:val="auto"/>
          <w:highlight w:val="none"/>
        </w:rPr>
      </w:pPr>
      <w:r>
        <w:rPr>
          <w:rFonts w:hint="eastAsia"/>
          <w:color w:val="auto"/>
          <w:highlight w:val="none"/>
        </w:rPr>
        <w:t>5.项目建设单位设备采购合同（若有）。</w:t>
      </w:r>
    </w:p>
    <w:p w14:paraId="61BDDB25">
      <w:pPr>
        <w:rPr>
          <w:color w:val="auto"/>
          <w:highlight w:val="none"/>
        </w:rPr>
      </w:pPr>
      <w:r>
        <w:rPr>
          <w:rFonts w:hint="eastAsia"/>
          <w:color w:val="auto"/>
          <w:highlight w:val="none"/>
        </w:rPr>
        <w:t>6.年度设备采购合同相关支付证明。（不低于企业承担的核定投资额度）</w:t>
      </w:r>
    </w:p>
    <w:p w14:paraId="4B8D092F">
      <w:pPr>
        <w:rPr>
          <w:color w:val="auto"/>
          <w:highlight w:val="none"/>
        </w:rPr>
      </w:pPr>
      <w:r>
        <w:rPr>
          <w:rFonts w:hint="eastAsia"/>
          <w:color w:val="auto"/>
          <w:highlight w:val="none"/>
        </w:rPr>
        <w:t>7.年度设备使用情况相关证明材料。（如车辆牌照、车辆营运证等使用证明）</w:t>
      </w:r>
    </w:p>
    <w:p w14:paraId="7CA63BBE">
      <w:pPr>
        <w:rPr>
          <w:color w:val="auto"/>
          <w:highlight w:val="none"/>
        </w:rPr>
      </w:pPr>
      <w:r>
        <w:rPr>
          <w:color w:val="auto"/>
          <w:highlight w:val="none"/>
        </w:rPr>
        <w:t>8.</w:t>
      </w:r>
      <w:r>
        <w:rPr>
          <w:rFonts w:hint="eastAsia"/>
          <w:color w:val="auto"/>
          <w:highlight w:val="none"/>
        </w:rPr>
        <w:t>本年度承诺完成剩余计划核定投资明细表。</w:t>
      </w:r>
    </w:p>
    <w:p w14:paraId="104EE8E7">
      <w:pPr>
        <w:rPr>
          <w:color w:val="auto"/>
          <w:highlight w:val="none"/>
        </w:rPr>
      </w:pPr>
      <w:r>
        <w:rPr>
          <w:color w:val="auto"/>
          <w:highlight w:val="none"/>
        </w:rPr>
        <w:t>9</w:t>
      </w:r>
      <w:r>
        <w:rPr>
          <w:rFonts w:hint="eastAsia"/>
          <w:color w:val="auto"/>
          <w:highlight w:val="none"/>
        </w:rPr>
        <w:t>.其他必要佐证材料。</w:t>
      </w:r>
    </w:p>
    <w:p w14:paraId="350EE3DC">
      <w:pPr>
        <w:pStyle w:val="24"/>
        <w:rPr>
          <w:color w:val="auto"/>
          <w:highlight w:val="none"/>
        </w:rPr>
        <w:sectPr>
          <w:pgSz w:w="11906" w:h="16838"/>
          <w:pgMar w:top="1440" w:right="1800" w:bottom="1440" w:left="1800" w:header="851" w:footer="992" w:gutter="0"/>
          <w:cols w:space="425" w:num="1"/>
          <w:docGrid w:type="lines" w:linePitch="312" w:charSpace="0"/>
        </w:sectPr>
      </w:pPr>
    </w:p>
    <w:p w14:paraId="1E20BBB8">
      <w:pPr>
        <w:pStyle w:val="24"/>
        <w:rPr>
          <w:color w:val="auto"/>
          <w:highlight w:val="none"/>
        </w:rPr>
      </w:pPr>
      <w:r>
        <w:rPr>
          <w:rFonts w:hint="eastAsia"/>
          <w:color w:val="auto"/>
          <w:highlight w:val="none"/>
        </w:rPr>
        <w:t>附件2：</w:t>
      </w:r>
    </w:p>
    <w:p w14:paraId="404FE199">
      <w:pPr>
        <w:pStyle w:val="5"/>
        <w:rPr>
          <w:color w:val="auto"/>
          <w:highlight w:val="none"/>
        </w:rPr>
      </w:pPr>
      <w:r>
        <w:rPr>
          <w:rFonts w:hint="eastAsia"/>
          <w:color w:val="auto"/>
          <w:highlight w:val="none"/>
        </w:rPr>
        <w:t>项目奖补资金申报承诺书</w:t>
      </w:r>
    </w:p>
    <w:p w14:paraId="2283FE9F">
      <w:pPr>
        <w:pStyle w:val="33"/>
        <w:rPr>
          <w:color w:val="auto"/>
          <w:highlight w:val="none"/>
        </w:rPr>
      </w:pPr>
      <w:r>
        <w:rPr>
          <w:rFonts w:hint="eastAsia"/>
          <w:color w:val="auto"/>
          <w:highlight w:val="none"/>
        </w:rPr>
        <w:t>（模板）</w:t>
      </w:r>
    </w:p>
    <w:p w14:paraId="51BED853">
      <w:pPr>
        <w:rPr>
          <w:color w:val="auto"/>
          <w:highlight w:val="none"/>
        </w:rPr>
      </w:pPr>
    </w:p>
    <w:p w14:paraId="0348D5AE">
      <w:pPr>
        <w:pStyle w:val="41"/>
        <w:rPr>
          <w:color w:val="auto"/>
          <w:highlight w:val="none"/>
        </w:rPr>
      </w:pPr>
      <w:r>
        <w:rPr>
          <w:rFonts w:hint="eastAsia"/>
          <w:color w:val="auto"/>
          <w:highlight w:val="none"/>
        </w:rPr>
        <w:t>项目申报单位：</w:t>
      </w:r>
    </w:p>
    <w:p w14:paraId="490B1E4C">
      <w:pPr>
        <w:spacing w:line="600" w:lineRule="exact"/>
        <w:rPr>
          <w:color w:val="auto"/>
          <w:highlight w:val="none"/>
        </w:rPr>
      </w:pPr>
      <w:r>
        <w:rPr>
          <w:rFonts w:hint="eastAsia"/>
          <w:color w:val="auto"/>
          <w:highlight w:val="none"/>
        </w:rPr>
        <w:t>统一社会信用代码：</w:t>
      </w:r>
    </w:p>
    <w:p w14:paraId="1C3A15A2">
      <w:pPr>
        <w:spacing w:line="600" w:lineRule="exact"/>
        <w:rPr>
          <w:color w:val="auto"/>
          <w:highlight w:val="none"/>
        </w:rPr>
      </w:pPr>
      <w:r>
        <w:rPr>
          <w:rFonts w:hint="eastAsia"/>
          <w:color w:val="auto"/>
          <w:highlight w:val="none"/>
        </w:rPr>
        <w:t>项目名称：</w:t>
      </w:r>
    </w:p>
    <w:p w14:paraId="7E89F10C">
      <w:pPr>
        <w:spacing w:line="600" w:lineRule="exact"/>
        <w:rPr>
          <w:color w:val="auto"/>
          <w:highlight w:val="none"/>
        </w:rPr>
      </w:pPr>
      <w:r>
        <w:rPr>
          <w:rFonts w:hint="eastAsia"/>
          <w:color w:val="auto"/>
          <w:highlight w:val="none"/>
        </w:rPr>
        <w:t>项目所在地：</w:t>
      </w:r>
    </w:p>
    <w:p w14:paraId="214DC357">
      <w:pPr>
        <w:spacing w:line="600" w:lineRule="exact"/>
        <w:rPr>
          <w:color w:val="auto"/>
          <w:highlight w:val="none"/>
        </w:rPr>
      </w:pPr>
      <w:r>
        <w:rPr>
          <w:rFonts w:hint="eastAsia"/>
          <w:color w:val="auto"/>
          <w:highlight w:val="none"/>
        </w:rPr>
        <w:t>项目负责人：</w:t>
      </w:r>
    </w:p>
    <w:p w14:paraId="7B5C9BC7">
      <w:pPr>
        <w:spacing w:line="600" w:lineRule="exact"/>
        <w:ind w:firstLine="605"/>
        <w:rPr>
          <w:color w:val="auto"/>
          <w:highlight w:val="none"/>
        </w:rPr>
      </w:pPr>
      <w:r>
        <w:rPr>
          <w:rFonts w:hint="eastAsia"/>
          <w:color w:val="auto"/>
          <w:w w:val="95"/>
          <w:highlight w:val="none"/>
        </w:rPr>
        <w:t>身份证号</w:t>
      </w:r>
      <w:r>
        <w:rPr>
          <w:rFonts w:hint="eastAsia"/>
          <w:color w:val="auto"/>
          <w:spacing w:val="-5"/>
          <w:w w:val="95"/>
          <w:highlight w:val="none"/>
        </w:rPr>
        <w:t>码：</w:t>
      </w:r>
    </w:p>
    <w:p w14:paraId="2AD10D6B">
      <w:pPr>
        <w:spacing w:line="600" w:lineRule="exact"/>
        <w:ind w:firstLine="605"/>
        <w:rPr>
          <w:color w:val="auto"/>
          <w:highlight w:val="none"/>
        </w:rPr>
      </w:pPr>
      <w:r>
        <w:rPr>
          <w:rFonts w:hint="eastAsia"/>
          <w:color w:val="auto"/>
          <w:w w:val="95"/>
          <w:highlight w:val="none"/>
        </w:rPr>
        <w:t>项目申报单位承</w:t>
      </w:r>
      <w:r>
        <w:rPr>
          <w:rFonts w:hint="eastAsia"/>
          <w:color w:val="auto"/>
          <w:spacing w:val="-5"/>
          <w:w w:val="95"/>
          <w:highlight w:val="none"/>
        </w:rPr>
        <w:t>诺：</w:t>
      </w:r>
    </w:p>
    <w:p w14:paraId="30FC798B">
      <w:pPr>
        <w:ind w:firstLine="630"/>
        <w:rPr>
          <w:color w:val="auto"/>
          <w:highlight w:val="none"/>
        </w:rPr>
      </w:pPr>
      <w:r>
        <w:rPr>
          <w:rFonts w:hint="eastAsia"/>
          <w:color w:val="auto"/>
          <w:w w:val="99"/>
          <w:highlight w:val="none"/>
        </w:rPr>
        <w:t>一、本单位近三年信用状况良好，无严重失信行为；无涉诉</w:t>
      </w:r>
      <w:r>
        <w:rPr>
          <w:rFonts w:hint="eastAsia"/>
          <w:color w:val="auto"/>
          <w:spacing w:val="-3"/>
          <w:w w:val="99"/>
          <w:highlight w:val="none"/>
        </w:rPr>
        <w:t>等原因导致账户冻结等问题。</w:t>
      </w:r>
    </w:p>
    <w:p w14:paraId="60CFA1C3">
      <w:pPr>
        <w:ind w:firstLine="590"/>
        <w:rPr>
          <w:color w:val="auto"/>
          <w:highlight w:val="none"/>
        </w:rPr>
      </w:pPr>
      <w:r>
        <w:rPr>
          <w:rFonts w:hint="eastAsia"/>
          <w:color w:val="auto"/>
          <w:spacing w:val="-10"/>
          <w:w w:val="99"/>
          <w:highlight w:val="none"/>
        </w:rPr>
        <w:t>二、依据申报要求，据实提供所有申报材料，所提供的项目</w:t>
      </w:r>
      <w:r>
        <w:rPr>
          <w:rFonts w:hint="eastAsia"/>
          <w:color w:val="auto"/>
          <w:w w:val="99"/>
          <w:highlight w:val="none"/>
        </w:rPr>
        <w:t>资金申请报告内容及附件均真实、合法。企业存在账户冻结风险</w:t>
      </w:r>
      <w:r>
        <w:rPr>
          <w:rFonts w:hint="eastAsia"/>
          <w:color w:val="auto"/>
          <w:spacing w:val="-11"/>
          <w:w w:val="99"/>
          <w:highlight w:val="none"/>
        </w:rPr>
        <w:t>的，第一时间向市财政局、市交通运输局报告，确保国家奖补资</w:t>
      </w:r>
      <w:r>
        <w:rPr>
          <w:rFonts w:hint="eastAsia"/>
          <w:color w:val="auto"/>
          <w:spacing w:val="-4"/>
          <w:w w:val="99"/>
          <w:highlight w:val="none"/>
        </w:rPr>
        <w:t>金安全。</w:t>
      </w:r>
    </w:p>
    <w:p w14:paraId="187D8EA2">
      <w:pPr>
        <w:ind w:firstLine="605"/>
        <w:rPr>
          <w:color w:val="auto"/>
          <w:highlight w:val="none"/>
        </w:rPr>
      </w:pPr>
      <w:r>
        <w:rPr>
          <w:rFonts w:hint="eastAsia"/>
          <w:color w:val="auto"/>
          <w:w w:val="95"/>
          <w:highlight w:val="none"/>
        </w:rPr>
        <w:t>三、按照申报时确定的有关技术标准和功能建设</w:t>
      </w:r>
      <w:r>
        <w:rPr>
          <w:rFonts w:hint="eastAsia"/>
          <w:color w:val="auto"/>
          <w:spacing w:val="-10"/>
          <w:w w:val="95"/>
          <w:highlight w:val="none"/>
        </w:rPr>
        <w:t>。</w:t>
      </w:r>
    </w:p>
    <w:p w14:paraId="76A65FAE">
      <w:pPr>
        <w:ind w:firstLine="590"/>
        <w:rPr>
          <w:color w:val="auto"/>
          <w:highlight w:val="none"/>
        </w:rPr>
      </w:pPr>
      <w:r>
        <w:rPr>
          <w:rFonts w:hint="eastAsia"/>
          <w:color w:val="auto"/>
          <w:spacing w:val="-10"/>
          <w:w w:val="99"/>
          <w:highlight w:val="none"/>
        </w:rPr>
        <w:t>四、除奖补资金外，本项目未享受过其他中央资金补助；奖</w:t>
      </w:r>
      <w:r>
        <w:rPr>
          <w:rFonts w:hint="eastAsia"/>
          <w:color w:val="auto"/>
          <w:w w:val="99"/>
          <w:highlight w:val="none"/>
        </w:rPr>
        <w:t>补资金外的其他资金已落实资金渠道，能按时到位；奖补资金获</w:t>
      </w:r>
      <w:r>
        <w:rPr>
          <w:rFonts w:hint="eastAsia"/>
          <w:color w:val="auto"/>
          <w:w w:val="95"/>
          <w:highlight w:val="none"/>
        </w:rPr>
        <w:t>批后将按规定使用，自觉接受相关部门监督</w:t>
      </w:r>
      <w:r>
        <w:rPr>
          <w:rFonts w:hint="eastAsia"/>
          <w:color w:val="auto"/>
          <w:spacing w:val="-4"/>
          <w:w w:val="95"/>
          <w:highlight w:val="none"/>
        </w:rPr>
        <w:t>检查。</w:t>
      </w:r>
    </w:p>
    <w:p w14:paraId="3B5D06EF">
      <w:pPr>
        <w:ind w:firstLine="630"/>
        <w:rPr>
          <w:color w:val="auto"/>
          <w:w w:val="99"/>
          <w:highlight w:val="none"/>
        </w:rPr>
      </w:pPr>
      <w:r>
        <w:rPr>
          <w:rFonts w:hint="eastAsia"/>
          <w:color w:val="auto"/>
          <w:w w:val="99"/>
          <w:highlight w:val="none"/>
        </w:rPr>
        <w:t>五、项目获得奖补资金后，物流主体功能十年内保持不变。</w:t>
      </w:r>
    </w:p>
    <w:p w14:paraId="2406851F">
      <w:pPr>
        <w:ind w:firstLine="630"/>
        <w:rPr>
          <w:color w:val="auto"/>
          <w:highlight w:val="none"/>
        </w:rPr>
      </w:pPr>
      <w:r>
        <w:rPr>
          <w:rFonts w:hint="eastAsia"/>
          <w:color w:val="auto"/>
          <w:w w:val="99"/>
          <w:highlight w:val="none"/>
        </w:rPr>
        <w:t>六、交通运输部和财政部在考核中因我项目原因扣分或扣减奖补资金、项目实际取得的奖补资金超过清算审核后应得奖补资</w:t>
      </w:r>
      <w:r>
        <w:rPr>
          <w:rFonts w:hint="eastAsia"/>
          <w:color w:val="auto"/>
          <w:spacing w:val="-3"/>
          <w:w w:val="99"/>
          <w:highlight w:val="none"/>
        </w:rPr>
        <w:t>金，承诺退回相应奖补资金。</w:t>
      </w:r>
    </w:p>
    <w:p w14:paraId="292DAF0F">
      <w:pPr>
        <w:ind w:firstLine="630"/>
        <w:rPr>
          <w:color w:val="auto"/>
          <w:highlight w:val="none"/>
        </w:rPr>
      </w:pPr>
      <w:r>
        <w:rPr>
          <w:rFonts w:hint="eastAsia"/>
          <w:color w:val="auto"/>
          <w:w w:val="99"/>
          <w:highlight w:val="none"/>
        </w:rPr>
        <w:t>七、如违背以上承诺，将主动退回已获得的奖补资金及相应利息，并按照相关法律法规规定承担相应的法律责任；同意有关</w:t>
      </w:r>
      <w:r>
        <w:rPr>
          <w:rFonts w:hint="eastAsia"/>
          <w:color w:val="auto"/>
          <w:spacing w:val="-8"/>
          <w:w w:val="99"/>
          <w:highlight w:val="none"/>
        </w:rPr>
        <w:t>主管部门将相关失信信息记入公共信用信息系统，并在相关政府</w:t>
      </w:r>
      <w:r>
        <w:rPr>
          <w:rFonts w:hint="eastAsia"/>
          <w:color w:val="auto"/>
          <w:spacing w:val="-3"/>
          <w:w w:val="99"/>
          <w:highlight w:val="none"/>
        </w:rPr>
        <w:t>门户网站公开。</w:t>
      </w:r>
    </w:p>
    <w:p w14:paraId="58A1A026">
      <w:pPr>
        <w:rPr>
          <w:color w:val="auto"/>
          <w:highlight w:val="none"/>
        </w:rPr>
      </w:pPr>
    </w:p>
    <w:p w14:paraId="4B89B981">
      <w:pPr>
        <w:rPr>
          <w:color w:val="auto"/>
          <w:highlight w:val="none"/>
        </w:rPr>
      </w:pPr>
    </w:p>
    <w:p w14:paraId="7D9E72AF">
      <w:pPr>
        <w:pStyle w:val="9"/>
        <w:rPr>
          <w:color w:val="auto"/>
          <w:highlight w:val="none"/>
          <w:lang w:eastAsia="zh-CN"/>
        </w:rPr>
      </w:pPr>
    </w:p>
    <w:p w14:paraId="42A2A833">
      <w:pPr>
        <w:ind w:firstLine="605"/>
        <w:rPr>
          <w:color w:val="auto"/>
          <w:highlight w:val="none"/>
        </w:rPr>
      </w:pPr>
      <w:r>
        <w:rPr>
          <w:rFonts w:hint="eastAsia"/>
          <w:color w:val="auto"/>
          <w:w w:val="95"/>
          <w:highlight w:val="none"/>
        </w:rPr>
        <w:t>项目负责</w:t>
      </w:r>
      <w:r>
        <w:rPr>
          <w:rFonts w:hint="eastAsia"/>
          <w:color w:val="auto"/>
          <w:spacing w:val="-3"/>
          <w:w w:val="95"/>
          <w:highlight w:val="none"/>
        </w:rPr>
        <w:t>人签名：</w:t>
      </w:r>
    </w:p>
    <w:p w14:paraId="772ED2F2">
      <w:pPr>
        <w:rPr>
          <w:color w:val="auto"/>
          <w:highlight w:val="none"/>
        </w:rPr>
      </w:pPr>
      <w:r>
        <w:rPr>
          <w:rFonts w:hint="eastAsia"/>
          <w:color w:val="auto"/>
          <w:highlight w:val="none"/>
        </w:rPr>
        <w:t>单位负责人(法定代表人)签名：</w:t>
      </w:r>
    </w:p>
    <w:p w14:paraId="751B737B">
      <w:pPr>
        <w:rPr>
          <w:color w:val="auto"/>
          <w:highlight w:val="none"/>
        </w:rPr>
      </w:pPr>
      <w:r>
        <w:rPr>
          <w:rFonts w:hint="eastAsia"/>
          <w:color w:val="auto"/>
          <w:highlight w:val="none"/>
        </w:rPr>
        <w:t>单位公章：</w:t>
      </w:r>
    </w:p>
    <w:p w14:paraId="392A3669">
      <w:pPr>
        <w:pStyle w:val="9"/>
        <w:rPr>
          <w:color w:val="auto"/>
          <w:highlight w:val="none"/>
          <w:lang w:eastAsia="zh-CN"/>
        </w:rPr>
      </w:pPr>
    </w:p>
    <w:p w14:paraId="09111815">
      <w:pPr>
        <w:pStyle w:val="9"/>
        <w:rPr>
          <w:color w:val="auto"/>
          <w:highlight w:val="none"/>
          <w:lang w:eastAsia="zh-CN"/>
        </w:rPr>
      </w:pPr>
    </w:p>
    <w:p w14:paraId="1B28684D">
      <w:pPr>
        <w:pStyle w:val="39"/>
        <w:rPr>
          <w:color w:val="auto"/>
          <w:highlight w:val="none"/>
          <w:lang w:eastAsia="zh-CN"/>
        </w:rPr>
      </w:pPr>
      <w:r>
        <w:rPr>
          <w:rFonts w:hint="eastAsia"/>
          <w:color w:val="auto"/>
          <w:highlight w:val="none"/>
          <w:lang w:eastAsia="zh-CN"/>
        </w:rPr>
        <w:t>年    月    日</w:t>
      </w:r>
    </w:p>
    <w:p w14:paraId="784B887B">
      <w:pPr>
        <w:rPr>
          <w:rFonts w:hAnsi="仿宋" w:cs="仿宋"/>
          <w:color w:val="auto"/>
          <w:kern w:val="0"/>
          <w:szCs w:val="32"/>
          <w:highlight w:val="none"/>
        </w:rPr>
      </w:pPr>
      <w:r>
        <w:rPr>
          <w:rFonts w:hint="eastAsia"/>
          <w:color w:val="auto"/>
          <w:highlight w:val="none"/>
        </w:rPr>
        <w:br w:type="page"/>
      </w:r>
    </w:p>
    <w:p w14:paraId="4F5B8BEF">
      <w:pPr>
        <w:pStyle w:val="24"/>
        <w:rPr>
          <w:color w:val="auto"/>
          <w:highlight w:val="none"/>
        </w:rPr>
      </w:pPr>
      <w:r>
        <w:rPr>
          <w:rFonts w:hint="eastAsia"/>
          <w:color w:val="auto"/>
          <w:highlight w:val="none"/>
        </w:rPr>
        <w:t>附件3：</w:t>
      </w:r>
    </w:p>
    <w:p w14:paraId="4ABDADBE">
      <w:pPr>
        <w:rPr>
          <w:color w:val="auto"/>
          <w:highlight w:val="none"/>
        </w:rPr>
      </w:pPr>
    </w:p>
    <w:p w14:paraId="3DD9CCF1">
      <w:pPr>
        <w:pStyle w:val="5"/>
        <w:rPr>
          <w:color w:val="auto"/>
          <w:highlight w:val="none"/>
        </w:rPr>
      </w:pPr>
      <w:r>
        <w:rPr>
          <w:rFonts w:hint="eastAsia"/>
          <w:color w:val="auto"/>
          <w:highlight w:val="none"/>
        </w:rPr>
        <w:t>XXX局、区（县、市）人民政府、管委会关于项目单位奖补资金申请报告的</w:t>
      </w:r>
      <w:r>
        <w:rPr>
          <w:color w:val="auto"/>
          <w:highlight w:val="none"/>
        </w:rPr>
        <w:br w:type="textWrapping"/>
      </w:r>
      <w:r>
        <w:rPr>
          <w:rFonts w:hint="eastAsia"/>
          <w:color w:val="auto"/>
          <w:highlight w:val="none"/>
        </w:rPr>
        <w:t>审核意见</w:t>
      </w:r>
    </w:p>
    <w:p w14:paraId="679806E0">
      <w:pPr>
        <w:rPr>
          <w:color w:val="auto"/>
          <w:highlight w:val="none"/>
        </w:rPr>
      </w:pPr>
    </w:p>
    <w:p w14:paraId="4E4CAA99">
      <w:pPr>
        <w:pStyle w:val="43"/>
        <w:rPr>
          <w:color w:val="auto"/>
          <w:highlight w:val="none"/>
        </w:rPr>
      </w:pPr>
      <w:r>
        <w:rPr>
          <w:rFonts w:hint="eastAsia"/>
          <w:color w:val="auto"/>
          <w:highlight w:val="none"/>
        </w:rPr>
        <w:t>沈阳市综合货运枢纽补链强链工作专班办公室：</w:t>
      </w:r>
    </w:p>
    <w:p w14:paraId="2FEF6AB1">
      <w:pPr>
        <w:rPr>
          <w:color w:val="auto"/>
          <w:highlight w:val="none"/>
        </w:rPr>
      </w:pPr>
      <w:r>
        <w:rPr>
          <w:rFonts w:hint="eastAsia"/>
          <w:color w:val="auto"/>
          <w:highlight w:val="none"/>
        </w:rPr>
        <w:t>按照《沈阳国家综合货运枢纽补链强链三年实施方案(2024年-2026年)》，我县（或市、区）共承担枢纽类项目*个、集疏运类项目*个、设备更新类项目*个、信息化平台类项目**个，实施期累计核定投资**万元，</w:t>
      </w:r>
      <w:r>
        <w:rPr>
          <w:color w:val="auto"/>
          <w:highlight w:val="none"/>
        </w:rPr>
        <w:t>XX</w:t>
      </w:r>
      <w:r>
        <w:rPr>
          <w:rFonts w:hint="eastAsia"/>
          <w:color w:val="auto"/>
          <w:highlight w:val="none"/>
        </w:rPr>
        <w:t>年计划完成核定投资共计**万元（此处附件说明）。</w:t>
      </w:r>
    </w:p>
    <w:p w14:paraId="0EDCE0CB">
      <w:pPr>
        <w:rPr>
          <w:color w:val="auto"/>
          <w:highlight w:val="none"/>
        </w:rPr>
      </w:pPr>
      <w:r>
        <w:rPr>
          <w:rFonts w:hint="eastAsia"/>
          <w:color w:val="auto"/>
          <w:highlight w:val="none"/>
        </w:rPr>
        <w:t>经我县（或市、区）认真审核，上述项目建设单位提报的项目奖补资金申请报告及相关佐证材料，真实、完整，符合《沈阳市国家综合货运枢纽补链强链奖补资金管理实施细则》明确的相关要求。现将项目奖补资金申请报告及相关附件随文呈报你办，请予以审核。</w:t>
      </w:r>
    </w:p>
    <w:p w14:paraId="4AA89314">
      <w:pPr>
        <w:rPr>
          <w:color w:val="auto"/>
          <w:highlight w:val="none"/>
        </w:rPr>
      </w:pPr>
    </w:p>
    <w:p w14:paraId="252EAC10">
      <w:pPr>
        <w:rPr>
          <w:color w:val="auto"/>
          <w:highlight w:val="none"/>
        </w:rPr>
      </w:pPr>
    </w:p>
    <w:p w14:paraId="401F3D1C">
      <w:pPr>
        <w:pStyle w:val="39"/>
        <w:rPr>
          <w:color w:val="auto"/>
          <w:highlight w:val="none"/>
          <w:lang w:eastAsia="zh-CN"/>
        </w:rPr>
      </w:pPr>
      <w:r>
        <w:rPr>
          <w:rFonts w:hint="eastAsia"/>
          <w:color w:val="auto"/>
          <w:highlight w:val="none"/>
          <w:lang w:eastAsia="zh-CN"/>
        </w:rPr>
        <w:t>XXX局、区（县、市）人民政府、管委会（公章）</w:t>
      </w:r>
    </w:p>
    <w:p w14:paraId="60D64572">
      <w:pPr>
        <w:pStyle w:val="39"/>
        <w:rPr>
          <w:color w:val="auto"/>
          <w:highlight w:val="none"/>
          <w:lang w:eastAsia="zh-CN"/>
        </w:rPr>
      </w:pPr>
      <w:r>
        <w:rPr>
          <w:rFonts w:hint="eastAsia"/>
          <w:color w:val="auto"/>
          <w:highlight w:val="none"/>
          <w:lang w:eastAsia="zh-CN"/>
        </w:rPr>
        <w:t>XXX年  月  日</w:t>
      </w:r>
    </w:p>
    <w:p w14:paraId="3B13949E">
      <w:pPr>
        <w:rPr>
          <w:color w:val="auto"/>
          <w:highlight w:val="none"/>
        </w:rPr>
      </w:pPr>
    </w:p>
    <w:p w14:paraId="14DDADD5">
      <w:pPr>
        <w:rPr>
          <w:color w:val="auto"/>
          <w:highlight w:val="none"/>
        </w:rPr>
      </w:pPr>
      <w:r>
        <w:rPr>
          <w:rFonts w:hint="eastAsia"/>
          <w:color w:val="auto"/>
          <w:highlight w:val="none"/>
        </w:rPr>
        <w:t>联系人：XXX，电话，XXX。</w:t>
      </w:r>
      <w:r>
        <w:rPr>
          <w:rFonts w:hint="eastAsia"/>
          <w:color w:val="auto"/>
          <w:highlight w:val="none"/>
        </w:rPr>
        <w:br w:type="page"/>
      </w:r>
    </w:p>
    <w:p w14:paraId="339C177E">
      <w:pPr>
        <w:pStyle w:val="24"/>
        <w:rPr>
          <w:color w:val="auto"/>
          <w:highlight w:val="none"/>
        </w:rPr>
      </w:pPr>
      <w:r>
        <w:rPr>
          <w:rFonts w:hint="eastAsia"/>
          <w:color w:val="auto"/>
          <w:highlight w:val="none"/>
        </w:rPr>
        <w:t>附件</w:t>
      </w:r>
      <w:r>
        <w:rPr>
          <w:color w:val="auto"/>
          <w:highlight w:val="none"/>
        </w:rPr>
        <w:t>4</w:t>
      </w:r>
      <w:r>
        <w:rPr>
          <w:rFonts w:hint="eastAsia"/>
          <w:color w:val="auto"/>
          <w:highlight w:val="none"/>
        </w:rPr>
        <w:t>：</w:t>
      </w:r>
    </w:p>
    <w:p w14:paraId="063E0576">
      <w:pPr>
        <w:pStyle w:val="5"/>
        <w:rPr>
          <w:color w:val="auto"/>
          <w:highlight w:val="none"/>
        </w:rPr>
      </w:pPr>
      <w:r>
        <w:rPr>
          <w:rFonts w:hint="eastAsia"/>
          <w:color w:val="auto"/>
          <w:highlight w:val="none"/>
        </w:rPr>
        <w:t>XXX项目年度绩效</w:t>
      </w:r>
      <w:r>
        <w:rPr>
          <w:color w:val="auto"/>
          <w:highlight w:val="none"/>
        </w:rPr>
        <w:t>自评报告</w:t>
      </w:r>
    </w:p>
    <w:p w14:paraId="14642B54">
      <w:pPr>
        <w:pStyle w:val="9"/>
        <w:rPr>
          <w:color w:val="auto"/>
          <w:highlight w:val="none"/>
          <w:lang w:eastAsia="zh-CN"/>
        </w:rPr>
      </w:pPr>
    </w:p>
    <w:p w14:paraId="695EF676">
      <w:pPr>
        <w:pStyle w:val="35"/>
        <w:rPr>
          <w:rStyle w:val="17"/>
          <w:rFonts w:ascii="黑体" w:eastAsia="黑体"/>
          <w:color w:val="auto"/>
          <w:highlight w:val="none"/>
        </w:rPr>
      </w:pPr>
      <w:r>
        <w:rPr>
          <w:rStyle w:val="17"/>
          <w:rFonts w:hint="eastAsia" w:ascii="黑体" w:eastAsia="黑体"/>
          <w:color w:val="auto"/>
          <w:highlight w:val="none"/>
        </w:rPr>
        <w:t>一、项目概述</w:t>
      </w:r>
    </w:p>
    <w:p w14:paraId="48CF79C3">
      <w:pPr>
        <w:pStyle w:val="35"/>
        <w:rPr>
          <w:rStyle w:val="17"/>
          <w:rFonts w:ascii="黑体" w:eastAsia="黑体"/>
          <w:color w:val="auto"/>
          <w:highlight w:val="none"/>
        </w:rPr>
      </w:pPr>
      <w:r>
        <w:rPr>
          <w:rStyle w:val="17"/>
          <w:rFonts w:hint="eastAsia" w:ascii="黑体" w:eastAsia="黑体"/>
          <w:color w:val="auto"/>
          <w:highlight w:val="none"/>
        </w:rPr>
        <w:t>二、项目</w:t>
      </w:r>
      <w:r>
        <w:rPr>
          <w:rFonts w:hint="eastAsia"/>
          <w:color w:val="auto"/>
          <w:highlight w:val="none"/>
        </w:rPr>
        <w:t>绩效完成</w:t>
      </w:r>
      <w:r>
        <w:rPr>
          <w:rStyle w:val="17"/>
          <w:rFonts w:hint="eastAsia" w:ascii="黑体" w:eastAsia="黑体"/>
          <w:color w:val="auto"/>
          <w:highlight w:val="none"/>
        </w:rPr>
        <w:t>概况</w:t>
      </w:r>
    </w:p>
    <w:p w14:paraId="664ED5D2">
      <w:pPr>
        <w:rPr>
          <w:color w:val="auto"/>
          <w:highlight w:val="none"/>
        </w:rPr>
      </w:pPr>
      <w:r>
        <w:rPr>
          <w:rFonts w:hint="eastAsia"/>
          <w:color w:val="auto"/>
          <w:highlight w:val="none"/>
        </w:rPr>
        <w:t>项目</w:t>
      </w:r>
      <w:r>
        <w:rPr>
          <w:color w:val="auto"/>
          <w:highlight w:val="none"/>
        </w:rPr>
        <w:t>总体执行情况，上一年度执行情况，实施方案目标完成情况，</w:t>
      </w:r>
      <w:r>
        <w:rPr>
          <w:rFonts w:hint="eastAsia"/>
          <w:color w:val="auto"/>
          <w:highlight w:val="none"/>
        </w:rPr>
        <w:t>如存在偏差需说明原因</w:t>
      </w:r>
    </w:p>
    <w:p w14:paraId="796DC376">
      <w:pPr>
        <w:pStyle w:val="35"/>
        <w:rPr>
          <w:color w:val="auto"/>
          <w:highlight w:val="none"/>
        </w:rPr>
      </w:pPr>
      <w:r>
        <w:rPr>
          <w:rFonts w:hint="eastAsia"/>
          <w:color w:val="auto"/>
          <w:highlight w:val="none"/>
        </w:rPr>
        <w:t>二、项目总体推进情况</w:t>
      </w:r>
    </w:p>
    <w:p w14:paraId="2A860CEB">
      <w:pPr>
        <w:pStyle w:val="37"/>
        <w:rPr>
          <w:color w:val="auto"/>
          <w:highlight w:val="none"/>
        </w:rPr>
      </w:pPr>
      <w:r>
        <w:rPr>
          <w:rFonts w:hint="eastAsia"/>
          <w:color w:val="auto"/>
          <w:highlight w:val="none"/>
        </w:rPr>
        <w:t>（一）项目前期工作</w:t>
      </w:r>
    </w:p>
    <w:p w14:paraId="0167B7C7">
      <w:pPr>
        <w:rPr>
          <w:color w:val="auto"/>
          <w:highlight w:val="none"/>
        </w:rPr>
      </w:pPr>
      <w:r>
        <w:rPr>
          <w:color w:val="auto"/>
          <w:highlight w:val="none"/>
        </w:rPr>
        <w:t>项目前期工作落实情况</w:t>
      </w:r>
      <w:r>
        <w:rPr>
          <w:rFonts w:hint="eastAsia"/>
          <w:color w:val="auto"/>
          <w:highlight w:val="none"/>
        </w:rPr>
        <w:t>，前期手续调整变化情况</w:t>
      </w:r>
      <w:r>
        <w:rPr>
          <w:color w:val="auto"/>
          <w:highlight w:val="none"/>
        </w:rPr>
        <w:t>;</w:t>
      </w:r>
    </w:p>
    <w:p w14:paraId="35C6458F">
      <w:pPr>
        <w:pStyle w:val="37"/>
        <w:rPr>
          <w:color w:val="auto"/>
          <w:highlight w:val="none"/>
        </w:rPr>
      </w:pPr>
      <w:r>
        <w:rPr>
          <w:rFonts w:hint="eastAsia"/>
          <w:color w:val="auto"/>
          <w:highlight w:val="none"/>
        </w:rPr>
        <w:t>（二）项目建设进度</w:t>
      </w:r>
    </w:p>
    <w:p w14:paraId="1D59E532">
      <w:pPr>
        <w:rPr>
          <w:color w:val="auto"/>
          <w:highlight w:val="none"/>
        </w:rPr>
      </w:pPr>
      <w:r>
        <w:rPr>
          <w:rFonts w:hint="eastAsia"/>
          <w:color w:val="auto"/>
          <w:highlight w:val="none"/>
        </w:rPr>
        <w:t>项目整体建设规模与建设进度</w:t>
      </w:r>
    </w:p>
    <w:p w14:paraId="2A38E621">
      <w:pPr>
        <w:pStyle w:val="37"/>
        <w:rPr>
          <w:color w:val="auto"/>
          <w:highlight w:val="none"/>
        </w:rPr>
      </w:pPr>
      <w:r>
        <w:rPr>
          <w:rFonts w:hint="eastAsia"/>
          <w:color w:val="auto"/>
          <w:highlight w:val="none"/>
        </w:rPr>
        <w:t>（三）项目投资进度</w:t>
      </w:r>
    </w:p>
    <w:p w14:paraId="6FA69C1D">
      <w:pPr>
        <w:rPr>
          <w:color w:val="auto"/>
          <w:highlight w:val="none"/>
        </w:rPr>
      </w:pPr>
      <w:r>
        <w:rPr>
          <w:color w:val="auto"/>
          <w:highlight w:val="none"/>
        </w:rPr>
        <w:t>项目</w:t>
      </w:r>
      <w:r>
        <w:rPr>
          <w:rFonts w:hint="eastAsia"/>
          <w:color w:val="auto"/>
          <w:highlight w:val="none"/>
        </w:rPr>
        <w:t>总体</w:t>
      </w:r>
      <w:r>
        <w:rPr>
          <w:color w:val="auto"/>
          <w:highlight w:val="none"/>
        </w:rPr>
        <w:t>投资</w:t>
      </w:r>
      <w:r>
        <w:rPr>
          <w:rFonts w:hint="eastAsia"/>
          <w:color w:val="auto"/>
          <w:highlight w:val="none"/>
        </w:rPr>
        <w:t>情况，实施期总投资情况，年度投资进度。</w:t>
      </w:r>
    </w:p>
    <w:p w14:paraId="68A9AD88">
      <w:pPr>
        <w:rPr>
          <w:color w:val="auto"/>
          <w:highlight w:val="none"/>
        </w:rPr>
      </w:pPr>
      <w:r>
        <w:rPr>
          <w:rFonts w:hint="eastAsia"/>
          <w:color w:val="auto"/>
          <w:highlight w:val="none"/>
        </w:rPr>
        <w:t>项目实施期内核定投资额及投资明细，年度累计核定投资完成情况及投资明细。</w:t>
      </w:r>
    </w:p>
    <w:p w14:paraId="75EFF430">
      <w:pPr>
        <w:pStyle w:val="35"/>
        <w:rPr>
          <w:color w:val="auto"/>
          <w:highlight w:val="none"/>
        </w:rPr>
      </w:pPr>
      <w:r>
        <w:rPr>
          <w:rFonts w:hint="eastAsia"/>
          <w:color w:val="auto"/>
          <w:highlight w:val="none"/>
        </w:rPr>
        <w:t>三、项目特色经验总结</w:t>
      </w:r>
    </w:p>
    <w:p w14:paraId="27851DE9">
      <w:pPr>
        <w:rPr>
          <w:color w:val="auto"/>
          <w:highlight w:val="none"/>
        </w:rPr>
      </w:pPr>
      <w:r>
        <w:rPr>
          <w:rFonts w:hint="eastAsia"/>
          <w:color w:val="auto"/>
          <w:highlight w:val="none"/>
        </w:rPr>
        <w:t>包括政策效果、建设成效、运营经验等。</w:t>
      </w:r>
    </w:p>
    <w:p w14:paraId="5CCABAF2">
      <w:pPr>
        <w:pStyle w:val="35"/>
        <w:rPr>
          <w:color w:val="auto"/>
          <w:highlight w:val="none"/>
        </w:rPr>
      </w:pPr>
      <w:r>
        <w:rPr>
          <w:rFonts w:hint="eastAsia"/>
          <w:color w:val="auto"/>
          <w:highlight w:val="none"/>
        </w:rPr>
        <w:t>四、问题及建议</w:t>
      </w:r>
    </w:p>
    <w:p w14:paraId="6872CF73">
      <w:pPr>
        <w:rPr>
          <w:color w:val="auto"/>
          <w:highlight w:val="none"/>
        </w:rPr>
      </w:pPr>
      <w:r>
        <w:rPr>
          <w:rFonts w:hint="eastAsia"/>
          <w:color w:val="auto"/>
          <w:highlight w:val="none"/>
        </w:rPr>
        <w:t>项目在推进过程中存在问题及建议。</w:t>
      </w:r>
    </w:p>
    <w:p w14:paraId="17011634">
      <w:pPr>
        <w:pStyle w:val="35"/>
        <w:rPr>
          <w:color w:val="auto"/>
          <w:highlight w:val="none"/>
        </w:rPr>
      </w:pPr>
    </w:p>
    <w:p w14:paraId="5A885BAE">
      <w:pPr>
        <w:pStyle w:val="35"/>
        <w:rPr>
          <w:color w:val="auto"/>
          <w:highlight w:val="none"/>
        </w:rPr>
      </w:pPr>
      <w:r>
        <w:rPr>
          <w:rFonts w:hint="eastAsia"/>
          <w:color w:val="auto"/>
          <w:highlight w:val="none"/>
        </w:rPr>
        <w:t>附件：1、年度绩效自评报告项目绩效评价表</w:t>
      </w:r>
    </w:p>
    <w:p w14:paraId="61EA3754">
      <w:pPr>
        <w:pStyle w:val="35"/>
        <w:ind w:firstLine="1600" w:firstLineChars="500"/>
        <w:rPr>
          <w:color w:val="auto"/>
          <w:highlight w:val="none"/>
        </w:rPr>
      </w:pPr>
      <w:r>
        <w:rPr>
          <w:rFonts w:hint="eastAsia"/>
          <w:color w:val="auto"/>
          <w:highlight w:val="none"/>
        </w:rPr>
        <w:t>2、年度绩效自评报告重点项目实施情况一览表</w:t>
      </w:r>
    </w:p>
    <w:p w14:paraId="02659952">
      <w:pPr>
        <w:pStyle w:val="35"/>
        <w:ind w:firstLine="1600" w:firstLineChars="500"/>
        <w:rPr>
          <w:color w:val="auto"/>
          <w:highlight w:val="none"/>
        </w:rPr>
      </w:pPr>
      <w:r>
        <w:rPr>
          <w:rFonts w:hint="eastAsia"/>
          <w:color w:val="auto"/>
          <w:highlight w:val="none"/>
        </w:rPr>
        <w:t>3、绩效指标对应的证明材料</w:t>
      </w:r>
    </w:p>
    <w:p w14:paraId="66B904BC">
      <w:pPr>
        <w:pStyle w:val="24"/>
        <w:rPr>
          <w:color w:val="auto"/>
          <w:highlight w:val="none"/>
        </w:rPr>
        <w:sectPr>
          <w:pgSz w:w="11906" w:h="16838"/>
          <w:pgMar w:top="1440" w:right="1800" w:bottom="1440" w:left="1800" w:header="851" w:footer="992" w:gutter="0"/>
          <w:cols w:space="425" w:num="1"/>
          <w:docGrid w:type="lines" w:linePitch="312" w:charSpace="0"/>
        </w:sectPr>
      </w:pPr>
    </w:p>
    <w:p w14:paraId="22A609B1">
      <w:pPr>
        <w:pStyle w:val="24"/>
        <w:rPr>
          <w:color w:val="auto"/>
          <w:highlight w:val="none"/>
        </w:rPr>
      </w:pPr>
      <w:r>
        <w:rPr>
          <w:rFonts w:hint="eastAsia"/>
          <w:color w:val="auto"/>
          <w:highlight w:val="none"/>
        </w:rPr>
        <w:t>附件</w:t>
      </w:r>
      <w:r>
        <w:rPr>
          <w:color w:val="auto"/>
          <w:highlight w:val="none"/>
        </w:rPr>
        <w:t>5</w:t>
      </w:r>
      <w:r>
        <w:rPr>
          <w:rFonts w:hint="eastAsia"/>
          <w:color w:val="auto"/>
          <w:highlight w:val="none"/>
        </w:rPr>
        <w:t>：</w:t>
      </w:r>
    </w:p>
    <w:p w14:paraId="05ACBCC1">
      <w:pPr>
        <w:pStyle w:val="5"/>
        <w:rPr>
          <w:color w:val="auto"/>
          <w:highlight w:val="none"/>
        </w:rPr>
      </w:pPr>
      <w:r>
        <w:rPr>
          <w:color w:val="auto"/>
          <w:highlight w:val="none"/>
        </w:rPr>
        <w:t xml:space="preserve">XXX </w:t>
      </w:r>
      <w:r>
        <w:rPr>
          <w:rFonts w:hint="eastAsia"/>
          <w:color w:val="auto"/>
          <w:highlight w:val="none"/>
        </w:rPr>
        <w:t>项目年度绩效</w:t>
      </w:r>
      <w:r>
        <w:rPr>
          <w:color w:val="auto"/>
          <w:highlight w:val="none"/>
        </w:rPr>
        <w:t>自评</w:t>
      </w:r>
      <w:r>
        <w:rPr>
          <w:rFonts w:hint="eastAsia"/>
          <w:color w:val="auto"/>
          <w:highlight w:val="none"/>
        </w:rPr>
        <w:t>表</w:t>
      </w:r>
    </w:p>
    <w:p w14:paraId="4ED1DF4D">
      <w:pPr>
        <w:rPr>
          <w:color w:val="auto"/>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060"/>
        <w:gridCol w:w="917"/>
        <w:gridCol w:w="1417"/>
        <w:gridCol w:w="851"/>
        <w:gridCol w:w="2347"/>
      </w:tblGrid>
      <w:tr w14:paraId="5FDF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45BC939">
            <w:pPr>
              <w:ind w:firstLine="0" w:firstLineChars="0"/>
              <w:rPr>
                <w:color w:val="auto"/>
                <w:sz w:val="24"/>
                <w:highlight w:val="none"/>
              </w:rPr>
            </w:pPr>
            <w:r>
              <w:rPr>
                <w:rFonts w:hint="eastAsia"/>
                <w:color w:val="auto"/>
                <w:sz w:val="24"/>
                <w:highlight w:val="none"/>
              </w:rPr>
              <w:t>序号</w:t>
            </w:r>
          </w:p>
        </w:tc>
        <w:tc>
          <w:tcPr>
            <w:tcW w:w="2060" w:type="dxa"/>
          </w:tcPr>
          <w:p w14:paraId="504348CD">
            <w:pPr>
              <w:ind w:firstLine="0" w:firstLineChars="0"/>
              <w:rPr>
                <w:color w:val="auto"/>
                <w:sz w:val="24"/>
                <w:highlight w:val="none"/>
              </w:rPr>
            </w:pPr>
            <w:r>
              <w:rPr>
                <w:rFonts w:hint="eastAsia"/>
                <w:color w:val="auto"/>
                <w:sz w:val="24"/>
                <w:highlight w:val="none"/>
              </w:rPr>
              <w:t>指标</w:t>
            </w:r>
          </w:p>
        </w:tc>
        <w:tc>
          <w:tcPr>
            <w:tcW w:w="917" w:type="dxa"/>
          </w:tcPr>
          <w:p w14:paraId="404CCA0C">
            <w:pPr>
              <w:ind w:firstLine="0" w:firstLineChars="0"/>
              <w:rPr>
                <w:color w:val="auto"/>
                <w:sz w:val="24"/>
                <w:highlight w:val="none"/>
              </w:rPr>
            </w:pPr>
            <w:r>
              <w:rPr>
                <w:rFonts w:hint="eastAsia"/>
                <w:color w:val="auto"/>
                <w:sz w:val="24"/>
                <w:highlight w:val="none"/>
              </w:rPr>
              <w:t>分值</w:t>
            </w:r>
          </w:p>
        </w:tc>
        <w:tc>
          <w:tcPr>
            <w:tcW w:w="1417" w:type="dxa"/>
          </w:tcPr>
          <w:p w14:paraId="5CF00593">
            <w:pPr>
              <w:ind w:firstLine="0" w:firstLineChars="0"/>
              <w:rPr>
                <w:color w:val="auto"/>
                <w:sz w:val="24"/>
                <w:highlight w:val="none"/>
              </w:rPr>
            </w:pPr>
            <w:r>
              <w:rPr>
                <w:rFonts w:hint="eastAsia"/>
                <w:color w:val="auto"/>
                <w:sz w:val="24"/>
                <w:highlight w:val="none"/>
              </w:rPr>
              <w:t>执行情况</w:t>
            </w:r>
          </w:p>
        </w:tc>
        <w:tc>
          <w:tcPr>
            <w:tcW w:w="851" w:type="dxa"/>
          </w:tcPr>
          <w:p w14:paraId="7F12C2B9">
            <w:pPr>
              <w:ind w:firstLine="0" w:firstLineChars="0"/>
              <w:rPr>
                <w:color w:val="auto"/>
                <w:sz w:val="24"/>
                <w:highlight w:val="none"/>
              </w:rPr>
            </w:pPr>
            <w:r>
              <w:rPr>
                <w:rFonts w:hint="eastAsia"/>
                <w:color w:val="auto"/>
                <w:sz w:val="24"/>
                <w:highlight w:val="none"/>
              </w:rPr>
              <w:t>评分</w:t>
            </w:r>
          </w:p>
        </w:tc>
        <w:tc>
          <w:tcPr>
            <w:tcW w:w="2347" w:type="dxa"/>
          </w:tcPr>
          <w:p w14:paraId="0DC529BF">
            <w:pPr>
              <w:ind w:firstLine="0" w:firstLineChars="0"/>
              <w:rPr>
                <w:color w:val="auto"/>
                <w:sz w:val="24"/>
                <w:highlight w:val="none"/>
              </w:rPr>
            </w:pPr>
            <w:r>
              <w:rPr>
                <w:rFonts w:hint="eastAsia"/>
                <w:color w:val="auto"/>
                <w:sz w:val="24"/>
                <w:highlight w:val="none"/>
              </w:rPr>
              <w:t>评价标准</w:t>
            </w:r>
          </w:p>
        </w:tc>
      </w:tr>
      <w:tr w14:paraId="6041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37FD32A">
            <w:pPr>
              <w:spacing w:line="240" w:lineRule="auto"/>
              <w:ind w:firstLine="0" w:firstLineChars="0"/>
              <w:rPr>
                <w:color w:val="auto"/>
                <w:sz w:val="24"/>
                <w:highlight w:val="none"/>
              </w:rPr>
            </w:pPr>
            <w:r>
              <w:rPr>
                <w:rFonts w:hint="eastAsia"/>
                <w:color w:val="auto"/>
                <w:sz w:val="24"/>
                <w:highlight w:val="none"/>
              </w:rPr>
              <w:t>1</w:t>
            </w:r>
          </w:p>
        </w:tc>
        <w:tc>
          <w:tcPr>
            <w:tcW w:w="2060" w:type="dxa"/>
          </w:tcPr>
          <w:p w14:paraId="29D4AE47">
            <w:pPr>
              <w:spacing w:line="240" w:lineRule="auto"/>
              <w:ind w:firstLine="0" w:firstLineChars="0"/>
              <w:jc w:val="left"/>
              <w:rPr>
                <w:color w:val="auto"/>
                <w:sz w:val="24"/>
                <w:highlight w:val="none"/>
              </w:rPr>
            </w:pPr>
            <w:r>
              <w:rPr>
                <w:rFonts w:hint="eastAsia"/>
                <w:color w:val="auto"/>
                <w:sz w:val="24"/>
                <w:highlight w:val="none"/>
              </w:rPr>
              <w:t>★年度新增投资额</w:t>
            </w:r>
            <w:r>
              <w:rPr>
                <w:color w:val="auto"/>
                <w:sz w:val="24"/>
                <w:highlight w:val="none"/>
              </w:rPr>
              <w:t>(万元)</w:t>
            </w:r>
          </w:p>
        </w:tc>
        <w:tc>
          <w:tcPr>
            <w:tcW w:w="917" w:type="dxa"/>
          </w:tcPr>
          <w:p w14:paraId="5F2EA039">
            <w:pPr>
              <w:spacing w:line="240" w:lineRule="auto"/>
              <w:ind w:firstLine="0" w:firstLineChars="0"/>
              <w:rPr>
                <w:color w:val="auto"/>
                <w:sz w:val="24"/>
                <w:highlight w:val="none"/>
              </w:rPr>
            </w:pPr>
            <w:r>
              <w:rPr>
                <w:rFonts w:hint="eastAsia"/>
                <w:color w:val="auto"/>
                <w:sz w:val="24"/>
                <w:highlight w:val="none"/>
              </w:rPr>
              <w:t>2</w:t>
            </w:r>
            <w:r>
              <w:rPr>
                <w:color w:val="auto"/>
                <w:sz w:val="24"/>
                <w:highlight w:val="none"/>
              </w:rPr>
              <w:t>0</w:t>
            </w:r>
          </w:p>
        </w:tc>
        <w:tc>
          <w:tcPr>
            <w:tcW w:w="1417" w:type="dxa"/>
          </w:tcPr>
          <w:p w14:paraId="1AC5A105">
            <w:pPr>
              <w:spacing w:line="240" w:lineRule="auto"/>
              <w:ind w:firstLine="0" w:firstLineChars="0"/>
              <w:rPr>
                <w:color w:val="auto"/>
                <w:sz w:val="24"/>
                <w:highlight w:val="none"/>
              </w:rPr>
            </w:pPr>
          </w:p>
        </w:tc>
        <w:tc>
          <w:tcPr>
            <w:tcW w:w="851" w:type="dxa"/>
          </w:tcPr>
          <w:p w14:paraId="2ABF0F64">
            <w:pPr>
              <w:spacing w:line="240" w:lineRule="auto"/>
              <w:ind w:firstLine="0" w:firstLineChars="0"/>
              <w:rPr>
                <w:color w:val="auto"/>
                <w:sz w:val="24"/>
                <w:highlight w:val="none"/>
              </w:rPr>
            </w:pPr>
          </w:p>
        </w:tc>
        <w:tc>
          <w:tcPr>
            <w:tcW w:w="2347" w:type="dxa"/>
          </w:tcPr>
          <w:p w14:paraId="7EBE293F">
            <w:pPr>
              <w:spacing w:line="240" w:lineRule="auto"/>
              <w:ind w:firstLine="0" w:firstLineChars="0"/>
              <w:rPr>
                <w:color w:val="auto"/>
                <w:sz w:val="24"/>
                <w:highlight w:val="none"/>
              </w:rPr>
            </w:pPr>
            <w:r>
              <w:rPr>
                <w:rFonts w:hint="eastAsia"/>
                <w:color w:val="auto"/>
                <w:sz w:val="24"/>
                <w:highlight w:val="none"/>
              </w:rPr>
              <w:t>按照完成年度目标的比例及竞争性评价结果综合赋分。</w:t>
            </w:r>
          </w:p>
        </w:tc>
      </w:tr>
      <w:tr w14:paraId="4BCF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2298937">
            <w:pPr>
              <w:spacing w:line="240" w:lineRule="auto"/>
              <w:ind w:firstLine="0" w:firstLineChars="0"/>
              <w:rPr>
                <w:color w:val="auto"/>
                <w:sz w:val="24"/>
                <w:highlight w:val="none"/>
              </w:rPr>
            </w:pPr>
            <w:r>
              <w:rPr>
                <w:rFonts w:hint="eastAsia"/>
                <w:color w:val="auto"/>
                <w:sz w:val="24"/>
                <w:highlight w:val="none"/>
              </w:rPr>
              <w:t>2</w:t>
            </w:r>
          </w:p>
        </w:tc>
        <w:tc>
          <w:tcPr>
            <w:tcW w:w="2060" w:type="dxa"/>
          </w:tcPr>
          <w:p w14:paraId="4E81CB10">
            <w:pPr>
              <w:spacing w:line="240" w:lineRule="auto"/>
              <w:ind w:firstLine="0" w:firstLineChars="0"/>
              <w:jc w:val="left"/>
              <w:rPr>
                <w:color w:val="auto"/>
                <w:sz w:val="24"/>
                <w:highlight w:val="none"/>
              </w:rPr>
            </w:pPr>
            <w:r>
              <w:rPr>
                <w:rFonts w:hint="eastAsia"/>
                <w:color w:val="auto"/>
                <w:sz w:val="24"/>
                <w:highlight w:val="none"/>
              </w:rPr>
              <w:t>★实施期总投资进度</w:t>
            </w:r>
            <w:r>
              <w:rPr>
                <w:color w:val="auto"/>
                <w:sz w:val="24"/>
                <w:highlight w:val="none"/>
              </w:rPr>
              <w:t>(%)</w:t>
            </w:r>
          </w:p>
        </w:tc>
        <w:tc>
          <w:tcPr>
            <w:tcW w:w="917" w:type="dxa"/>
          </w:tcPr>
          <w:p w14:paraId="6457F49C">
            <w:pPr>
              <w:spacing w:line="240" w:lineRule="auto"/>
              <w:ind w:firstLine="0" w:firstLineChars="0"/>
              <w:rPr>
                <w:color w:val="auto"/>
                <w:sz w:val="24"/>
                <w:highlight w:val="none"/>
              </w:rPr>
            </w:pPr>
            <w:r>
              <w:rPr>
                <w:rFonts w:hint="eastAsia"/>
                <w:color w:val="auto"/>
                <w:sz w:val="24"/>
                <w:highlight w:val="none"/>
              </w:rPr>
              <w:t>1</w:t>
            </w:r>
            <w:r>
              <w:rPr>
                <w:color w:val="auto"/>
                <w:sz w:val="24"/>
                <w:highlight w:val="none"/>
              </w:rPr>
              <w:t>5</w:t>
            </w:r>
          </w:p>
        </w:tc>
        <w:tc>
          <w:tcPr>
            <w:tcW w:w="1417" w:type="dxa"/>
          </w:tcPr>
          <w:p w14:paraId="1D4FEFAC">
            <w:pPr>
              <w:spacing w:line="240" w:lineRule="auto"/>
              <w:ind w:firstLine="0" w:firstLineChars="0"/>
              <w:rPr>
                <w:color w:val="auto"/>
                <w:sz w:val="24"/>
                <w:highlight w:val="none"/>
              </w:rPr>
            </w:pPr>
          </w:p>
        </w:tc>
        <w:tc>
          <w:tcPr>
            <w:tcW w:w="851" w:type="dxa"/>
          </w:tcPr>
          <w:p w14:paraId="1EAA5BA6">
            <w:pPr>
              <w:spacing w:line="240" w:lineRule="auto"/>
              <w:ind w:firstLine="0" w:firstLineChars="0"/>
              <w:rPr>
                <w:color w:val="auto"/>
                <w:sz w:val="24"/>
                <w:highlight w:val="none"/>
              </w:rPr>
            </w:pPr>
          </w:p>
        </w:tc>
        <w:tc>
          <w:tcPr>
            <w:tcW w:w="2347" w:type="dxa"/>
          </w:tcPr>
          <w:p w14:paraId="088AB1B2">
            <w:pPr>
              <w:spacing w:line="240" w:lineRule="auto"/>
              <w:ind w:firstLine="0" w:firstLineChars="0"/>
              <w:rPr>
                <w:color w:val="auto"/>
                <w:sz w:val="24"/>
                <w:highlight w:val="none"/>
              </w:rPr>
            </w:pPr>
            <w:r>
              <w:rPr>
                <w:rFonts w:hint="eastAsia"/>
                <w:color w:val="auto"/>
                <w:sz w:val="24"/>
                <w:highlight w:val="none"/>
              </w:rPr>
              <w:t>按照完成年度目标的比例及竞争性评价结果综合赋分。</w:t>
            </w:r>
          </w:p>
        </w:tc>
      </w:tr>
      <w:tr w14:paraId="103F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8D05425">
            <w:pPr>
              <w:spacing w:line="240" w:lineRule="auto"/>
              <w:ind w:firstLine="0" w:firstLineChars="0"/>
              <w:rPr>
                <w:color w:val="auto"/>
                <w:sz w:val="24"/>
                <w:highlight w:val="none"/>
              </w:rPr>
            </w:pPr>
            <w:r>
              <w:rPr>
                <w:rFonts w:hint="eastAsia"/>
                <w:color w:val="auto"/>
                <w:sz w:val="24"/>
                <w:highlight w:val="none"/>
              </w:rPr>
              <w:t>3</w:t>
            </w:r>
          </w:p>
        </w:tc>
        <w:tc>
          <w:tcPr>
            <w:tcW w:w="2060" w:type="dxa"/>
          </w:tcPr>
          <w:p w14:paraId="6B3901DB">
            <w:pPr>
              <w:spacing w:line="240" w:lineRule="auto"/>
              <w:ind w:firstLine="0" w:firstLineChars="0"/>
              <w:jc w:val="left"/>
              <w:rPr>
                <w:color w:val="auto"/>
                <w:sz w:val="24"/>
                <w:highlight w:val="none"/>
              </w:rPr>
            </w:pPr>
            <w:r>
              <w:rPr>
                <w:rFonts w:hint="eastAsia"/>
                <w:color w:val="auto"/>
                <w:sz w:val="24"/>
                <w:highlight w:val="none"/>
              </w:rPr>
              <w:t>★年度新增建设规模</w:t>
            </w:r>
            <w:r>
              <w:rPr>
                <w:color w:val="auto"/>
                <w:sz w:val="24"/>
                <w:highlight w:val="none"/>
              </w:rPr>
              <w:t>(平方米</w:t>
            </w:r>
            <w:r>
              <w:rPr>
                <w:rFonts w:hint="eastAsia"/>
                <w:color w:val="auto"/>
                <w:sz w:val="24"/>
                <w:highlight w:val="none"/>
              </w:rPr>
              <w:t>、</w:t>
            </w:r>
            <w:r>
              <w:rPr>
                <w:color w:val="auto"/>
                <w:sz w:val="24"/>
                <w:highlight w:val="none"/>
              </w:rPr>
              <w:t>公里)</w:t>
            </w:r>
          </w:p>
        </w:tc>
        <w:tc>
          <w:tcPr>
            <w:tcW w:w="917" w:type="dxa"/>
          </w:tcPr>
          <w:p w14:paraId="0509167D">
            <w:pPr>
              <w:spacing w:line="240" w:lineRule="auto"/>
              <w:ind w:firstLine="0" w:firstLineChars="0"/>
              <w:rPr>
                <w:color w:val="auto"/>
                <w:sz w:val="24"/>
                <w:highlight w:val="none"/>
              </w:rPr>
            </w:pPr>
            <w:r>
              <w:rPr>
                <w:rFonts w:hint="eastAsia"/>
                <w:color w:val="auto"/>
                <w:sz w:val="24"/>
                <w:highlight w:val="none"/>
              </w:rPr>
              <w:t>2</w:t>
            </w:r>
            <w:r>
              <w:rPr>
                <w:color w:val="auto"/>
                <w:sz w:val="24"/>
                <w:highlight w:val="none"/>
              </w:rPr>
              <w:t>0</w:t>
            </w:r>
          </w:p>
        </w:tc>
        <w:tc>
          <w:tcPr>
            <w:tcW w:w="1417" w:type="dxa"/>
          </w:tcPr>
          <w:p w14:paraId="48B06A7D">
            <w:pPr>
              <w:spacing w:line="240" w:lineRule="auto"/>
              <w:ind w:firstLine="0" w:firstLineChars="0"/>
              <w:rPr>
                <w:color w:val="auto"/>
                <w:sz w:val="24"/>
                <w:highlight w:val="none"/>
              </w:rPr>
            </w:pPr>
          </w:p>
        </w:tc>
        <w:tc>
          <w:tcPr>
            <w:tcW w:w="851" w:type="dxa"/>
          </w:tcPr>
          <w:p w14:paraId="32F21647">
            <w:pPr>
              <w:spacing w:line="240" w:lineRule="auto"/>
              <w:ind w:firstLine="0" w:firstLineChars="0"/>
              <w:rPr>
                <w:color w:val="auto"/>
                <w:sz w:val="24"/>
                <w:highlight w:val="none"/>
              </w:rPr>
            </w:pPr>
          </w:p>
        </w:tc>
        <w:tc>
          <w:tcPr>
            <w:tcW w:w="2347" w:type="dxa"/>
          </w:tcPr>
          <w:p w14:paraId="0C4D659B">
            <w:pPr>
              <w:spacing w:line="240" w:lineRule="auto"/>
              <w:ind w:firstLine="0" w:firstLineChars="0"/>
              <w:rPr>
                <w:color w:val="auto"/>
                <w:sz w:val="24"/>
                <w:highlight w:val="none"/>
              </w:rPr>
            </w:pPr>
            <w:r>
              <w:rPr>
                <w:rFonts w:hint="eastAsia"/>
                <w:color w:val="auto"/>
                <w:sz w:val="24"/>
                <w:highlight w:val="none"/>
              </w:rPr>
              <w:t>按照完成年度目标的比例及竞争性评价结果综合赋分。</w:t>
            </w:r>
          </w:p>
        </w:tc>
      </w:tr>
      <w:tr w14:paraId="36F9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5F19D36">
            <w:pPr>
              <w:spacing w:line="240" w:lineRule="auto"/>
              <w:ind w:firstLine="0" w:firstLineChars="0"/>
              <w:rPr>
                <w:color w:val="auto"/>
                <w:sz w:val="24"/>
                <w:highlight w:val="none"/>
              </w:rPr>
            </w:pPr>
            <w:r>
              <w:rPr>
                <w:rFonts w:hint="eastAsia"/>
                <w:color w:val="auto"/>
                <w:sz w:val="24"/>
                <w:highlight w:val="none"/>
              </w:rPr>
              <w:t>4</w:t>
            </w:r>
          </w:p>
        </w:tc>
        <w:tc>
          <w:tcPr>
            <w:tcW w:w="2060" w:type="dxa"/>
          </w:tcPr>
          <w:p w14:paraId="51291A26">
            <w:pPr>
              <w:spacing w:line="240" w:lineRule="auto"/>
              <w:ind w:firstLine="0" w:firstLineChars="0"/>
              <w:jc w:val="left"/>
              <w:rPr>
                <w:color w:val="auto"/>
                <w:sz w:val="24"/>
                <w:highlight w:val="none"/>
              </w:rPr>
            </w:pPr>
            <w:r>
              <w:rPr>
                <w:rFonts w:hint="eastAsia"/>
                <w:color w:val="auto"/>
                <w:sz w:val="24"/>
                <w:highlight w:val="none"/>
              </w:rPr>
              <w:t>★实施期建设进度</w:t>
            </w:r>
            <w:r>
              <w:rPr>
                <w:color w:val="auto"/>
                <w:sz w:val="24"/>
                <w:highlight w:val="none"/>
              </w:rPr>
              <w:t>(%)</w:t>
            </w:r>
          </w:p>
        </w:tc>
        <w:tc>
          <w:tcPr>
            <w:tcW w:w="917" w:type="dxa"/>
          </w:tcPr>
          <w:p w14:paraId="30DD159F">
            <w:pPr>
              <w:spacing w:line="240" w:lineRule="auto"/>
              <w:ind w:firstLine="0" w:firstLineChars="0"/>
              <w:rPr>
                <w:color w:val="auto"/>
                <w:sz w:val="24"/>
                <w:highlight w:val="none"/>
              </w:rPr>
            </w:pPr>
            <w:r>
              <w:rPr>
                <w:rFonts w:hint="eastAsia"/>
                <w:color w:val="auto"/>
                <w:sz w:val="24"/>
                <w:highlight w:val="none"/>
              </w:rPr>
              <w:t>1</w:t>
            </w:r>
            <w:r>
              <w:rPr>
                <w:color w:val="auto"/>
                <w:sz w:val="24"/>
                <w:highlight w:val="none"/>
              </w:rPr>
              <w:t>5</w:t>
            </w:r>
          </w:p>
        </w:tc>
        <w:tc>
          <w:tcPr>
            <w:tcW w:w="1417" w:type="dxa"/>
          </w:tcPr>
          <w:p w14:paraId="2C934B3B">
            <w:pPr>
              <w:spacing w:line="240" w:lineRule="auto"/>
              <w:ind w:firstLine="0" w:firstLineChars="0"/>
              <w:rPr>
                <w:color w:val="auto"/>
                <w:sz w:val="24"/>
                <w:highlight w:val="none"/>
              </w:rPr>
            </w:pPr>
          </w:p>
        </w:tc>
        <w:tc>
          <w:tcPr>
            <w:tcW w:w="851" w:type="dxa"/>
          </w:tcPr>
          <w:p w14:paraId="29B9E170">
            <w:pPr>
              <w:spacing w:line="240" w:lineRule="auto"/>
              <w:ind w:firstLine="0" w:firstLineChars="0"/>
              <w:rPr>
                <w:color w:val="auto"/>
                <w:sz w:val="24"/>
                <w:highlight w:val="none"/>
              </w:rPr>
            </w:pPr>
          </w:p>
        </w:tc>
        <w:tc>
          <w:tcPr>
            <w:tcW w:w="2347" w:type="dxa"/>
          </w:tcPr>
          <w:p w14:paraId="5B0A58B5">
            <w:pPr>
              <w:spacing w:line="240" w:lineRule="auto"/>
              <w:ind w:firstLine="0" w:firstLineChars="0"/>
              <w:rPr>
                <w:color w:val="auto"/>
                <w:sz w:val="24"/>
                <w:highlight w:val="none"/>
              </w:rPr>
            </w:pPr>
            <w:r>
              <w:rPr>
                <w:rFonts w:hint="eastAsia"/>
                <w:color w:val="auto"/>
                <w:sz w:val="24"/>
                <w:highlight w:val="none"/>
              </w:rPr>
              <w:t>按照完成年度目标的比例及竞争性评价结果综合赋分。集疏运铁路建设进度不达标即为</w:t>
            </w:r>
            <w:r>
              <w:rPr>
                <w:color w:val="auto"/>
                <w:sz w:val="24"/>
                <w:highlight w:val="none"/>
              </w:rPr>
              <w:t>0分.</w:t>
            </w:r>
          </w:p>
        </w:tc>
      </w:tr>
      <w:tr w14:paraId="5614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F3194D2">
            <w:pPr>
              <w:spacing w:line="240" w:lineRule="auto"/>
              <w:ind w:firstLine="0" w:firstLineChars="0"/>
              <w:rPr>
                <w:color w:val="auto"/>
                <w:sz w:val="24"/>
                <w:highlight w:val="none"/>
              </w:rPr>
            </w:pPr>
            <w:r>
              <w:rPr>
                <w:rFonts w:hint="eastAsia"/>
                <w:color w:val="auto"/>
                <w:sz w:val="24"/>
                <w:highlight w:val="none"/>
              </w:rPr>
              <w:t>5</w:t>
            </w:r>
          </w:p>
        </w:tc>
        <w:tc>
          <w:tcPr>
            <w:tcW w:w="2060" w:type="dxa"/>
          </w:tcPr>
          <w:p w14:paraId="1C270ECA">
            <w:pPr>
              <w:spacing w:line="240" w:lineRule="auto"/>
              <w:ind w:firstLine="0" w:firstLineChars="0"/>
              <w:jc w:val="left"/>
              <w:rPr>
                <w:color w:val="auto"/>
                <w:sz w:val="24"/>
                <w:highlight w:val="none"/>
              </w:rPr>
            </w:pPr>
            <w:r>
              <w:rPr>
                <w:rFonts w:hint="eastAsia"/>
                <w:color w:val="auto"/>
                <w:sz w:val="24"/>
                <w:highlight w:val="none"/>
              </w:rPr>
              <w:t>项目资本金比例</w:t>
            </w:r>
            <w:r>
              <w:rPr>
                <w:color w:val="auto"/>
                <w:sz w:val="24"/>
                <w:highlight w:val="none"/>
              </w:rPr>
              <w:t>(%)</w:t>
            </w:r>
          </w:p>
        </w:tc>
        <w:tc>
          <w:tcPr>
            <w:tcW w:w="917" w:type="dxa"/>
          </w:tcPr>
          <w:p w14:paraId="216F0E56">
            <w:pPr>
              <w:spacing w:line="240" w:lineRule="auto"/>
              <w:ind w:firstLine="0" w:firstLineChars="0"/>
              <w:rPr>
                <w:color w:val="auto"/>
                <w:sz w:val="24"/>
                <w:highlight w:val="none"/>
              </w:rPr>
            </w:pPr>
            <w:r>
              <w:rPr>
                <w:rFonts w:hint="eastAsia"/>
                <w:color w:val="auto"/>
                <w:sz w:val="24"/>
                <w:highlight w:val="none"/>
              </w:rPr>
              <w:t>8</w:t>
            </w:r>
          </w:p>
        </w:tc>
        <w:tc>
          <w:tcPr>
            <w:tcW w:w="1417" w:type="dxa"/>
          </w:tcPr>
          <w:p w14:paraId="3C85C080">
            <w:pPr>
              <w:spacing w:line="240" w:lineRule="auto"/>
              <w:ind w:firstLine="0" w:firstLineChars="0"/>
              <w:rPr>
                <w:color w:val="auto"/>
                <w:sz w:val="24"/>
                <w:highlight w:val="none"/>
              </w:rPr>
            </w:pPr>
          </w:p>
        </w:tc>
        <w:tc>
          <w:tcPr>
            <w:tcW w:w="851" w:type="dxa"/>
          </w:tcPr>
          <w:p w14:paraId="7236BE5F">
            <w:pPr>
              <w:spacing w:line="240" w:lineRule="auto"/>
              <w:ind w:firstLine="0" w:firstLineChars="0"/>
              <w:rPr>
                <w:color w:val="auto"/>
                <w:sz w:val="24"/>
                <w:highlight w:val="none"/>
              </w:rPr>
            </w:pPr>
          </w:p>
        </w:tc>
        <w:tc>
          <w:tcPr>
            <w:tcW w:w="2347" w:type="dxa"/>
          </w:tcPr>
          <w:p w14:paraId="3932347A">
            <w:pPr>
              <w:spacing w:line="240" w:lineRule="auto"/>
              <w:ind w:firstLine="0" w:firstLineChars="0"/>
              <w:rPr>
                <w:color w:val="auto"/>
                <w:sz w:val="24"/>
                <w:highlight w:val="none"/>
              </w:rPr>
            </w:pPr>
            <w:r>
              <w:rPr>
                <w:rFonts w:hint="eastAsia"/>
                <w:color w:val="auto"/>
                <w:sz w:val="24"/>
                <w:highlight w:val="none"/>
              </w:rPr>
              <w:t>资本金比例合规合理，且能提供证明材料，最高得</w:t>
            </w:r>
            <w:r>
              <w:rPr>
                <w:color w:val="auto"/>
                <w:sz w:val="24"/>
                <w:highlight w:val="none"/>
              </w:rPr>
              <w:t>8分。</w:t>
            </w:r>
          </w:p>
        </w:tc>
      </w:tr>
      <w:tr w14:paraId="4DF3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AD55233">
            <w:pPr>
              <w:spacing w:line="240" w:lineRule="auto"/>
              <w:ind w:firstLine="0" w:firstLineChars="0"/>
              <w:rPr>
                <w:color w:val="auto"/>
                <w:sz w:val="24"/>
                <w:highlight w:val="none"/>
              </w:rPr>
            </w:pPr>
            <w:r>
              <w:rPr>
                <w:rFonts w:hint="eastAsia"/>
                <w:color w:val="auto"/>
                <w:sz w:val="24"/>
                <w:highlight w:val="none"/>
              </w:rPr>
              <w:t>6</w:t>
            </w:r>
          </w:p>
        </w:tc>
        <w:tc>
          <w:tcPr>
            <w:tcW w:w="2060" w:type="dxa"/>
          </w:tcPr>
          <w:p w14:paraId="44BF648A">
            <w:pPr>
              <w:spacing w:line="240" w:lineRule="auto"/>
              <w:ind w:firstLine="0" w:firstLineChars="0"/>
              <w:jc w:val="left"/>
              <w:rPr>
                <w:color w:val="auto"/>
                <w:sz w:val="24"/>
                <w:highlight w:val="none"/>
              </w:rPr>
            </w:pPr>
            <w:r>
              <w:rPr>
                <w:rFonts w:hint="eastAsia"/>
                <w:color w:val="auto"/>
                <w:sz w:val="24"/>
                <w:highlight w:val="none"/>
              </w:rPr>
              <w:t>资金使用合规性</w:t>
            </w:r>
          </w:p>
        </w:tc>
        <w:tc>
          <w:tcPr>
            <w:tcW w:w="917" w:type="dxa"/>
          </w:tcPr>
          <w:p w14:paraId="7D80DF31">
            <w:pPr>
              <w:spacing w:line="240" w:lineRule="auto"/>
              <w:ind w:firstLine="0" w:firstLineChars="0"/>
              <w:rPr>
                <w:color w:val="auto"/>
                <w:sz w:val="24"/>
                <w:highlight w:val="none"/>
              </w:rPr>
            </w:pPr>
            <w:r>
              <w:rPr>
                <w:rFonts w:hint="eastAsia"/>
                <w:color w:val="auto"/>
                <w:sz w:val="24"/>
                <w:highlight w:val="none"/>
              </w:rPr>
              <w:t>6</w:t>
            </w:r>
          </w:p>
        </w:tc>
        <w:tc>
          <w:tcPr>
            <w:tcW w:w="1417" w:type="dxa"/>
          </w:tcPr>
          <w:p w14:paraId="53FF4B91">
            <w:pPr>
              <w:spacing w:line="240" w:lineRule="auto"/>
              <w:ind w:firstLine="0" w:firstLineChars="0"/>
              <w:rPr>
                <w:color w:val="auto"/>
                <w:sz w:val="24"/>
                <w:highlight w:val="none"/>
              </w:rPr>
            </w:pPr>
          </w:p>
        </w:tc>
        <w:tc>
          <w:tcPr>
            <w:tcW w:w="851" w:type="dxa"/>
          </w:tcPr>
          <w:p w14:paraId="0402E1C1">
            <w:pPr>
              <w:spacing w:line="240" w:lineRule="auto"/>
              <w:ind w:firstLine="0" w:firstLineChars="0"/>
              <w:rPr>
                <w:color w:val="auto"/>
                <w:sz w:val="24"/>
                <w:highlight w:val="none"/>
              </w:rPr>
            </w:pPr>
          </w:p>
        </w:tc>
        <w:tc>
          <w:tcPr>
            <w:tcW w:w="2347" w:type="dxa"/>
          </w:tcPr>
          <w:p w14:paraId="7D9B680D">
            <w:pPr>
              <w:spacing w:line="240" w:lineRule="auto"/>
              <w:ind w:firstLine="0" w:firstLineChars="0"/>
              <w:rPr>
                <w:color w:val="auto"/>
                <w:sz w:val="24"/>
                <w:highlight w:val="none"/>
              </w:rPr>
            </w:pPr>
            <w:r>
              <w:rPr>
                <w:rFonts w:hint="eastAsia"/>
                <w:color w:val="auto"/>
                <w:sz w:val="24"/>
                <w:highlight w:val="none"/>
              </w:rPr>
              <w:t>奖补资金用于既定的事项，未发现资金违规使用问题，得</w:t>
            </w:r>
            <w:r>
              <w:rPr>
                <w:color w:val="auto"/>
                <w:sz w:val="24"/>
                <w:highlight w:val="none"/>
              </w:rPr>
              <w:t>6分。</w:t>
            </w:r>
          </w:p>
        </w:tc>
      </w:tr>
      <w:tr w14:paraId="06F8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7EA03C8">
            <w:pPr>
              <w:spacing w:line="240" w:lineRule="auto"/>
              <w:ind w:firstLine="0" w:firstLineChars="0"/>
              <w:rPr>
                <w:color w:val="auto"/>
                <w:sz w:val="24"/>
                <w:highlight w:val="none"/>
              </w:rPr>
            </w:pPr>
            <w:r>
              <w:rPr>
                <w:rFonts w:hint="eastAsia"/>
                <w:color w:val="auto"/>
                <w:sz w:val="24"/>
                <w:highlight w:val="none"/>
              </w:rPr>
              <w:t>7</w:t>
            </w:r>
          </w:p>
        </w:tc>
        <w:tc>
          <w:tcPr>
            <w:tcW w:w="2060" w:type="dxa"/>
          </w:tcPr>
          <w:p w14:paraId="079FD172">
            <w:pPr>
              <w:spacing w:line="240" w:lineRule="auto"/>
              <w:ind w:firstLine="0" w:firstLineChars="0"/>
              <w:jc w:val="left"/>
              <w:rPr>
                <w:color w:val="auto"/>
                <w:sz w:val="24"/>
                <w:highlight w:val="none"/>
              </w:rPr>
            </w:pPr>
            <w:r>
              <w:rPr>
                <w:rFonts w:hint="eastAsia"/>
                <w:color w:val="auto"/>
                <w:sz w:val="24"/>
                <w:highlight w:val="none"/>
              </w:rPr>
              <w:t>管理制度健全性</w:t>
            </w:r>
          </w:p>
        </w:tc>
        <w:tc>
          <w:tcPr>
            <w:tcW w:w="917" w:type="dxa"/>
          </w:tcPr>
          <w:p w14:paraId="1932C853">
            <w:pPr>
              <w:spacing w:line="240" w:lineRule="auto"/>
              <w:ind w:firstLine="0" w:firstLineChars="0"/>
              <w:rPr>
                <w:color w:val="auto"/>
                <w:sz w:val="24"/>
                <w:highlight w:val="none"/>
              </w:rPr>
            </w:pPr>
            <w:r>
              <w:rPr>
                <w:rFonts w:hint="eastAsia"/>
                <w:color w:val="auto"/>
                <w:sz w:val="24"/>
                <w:highlight w:val="none"/>
              </w:rPr>
              <w:t>5</w:t>
            </w:r>
          </w:p>
        </w:tc>
        <w:tc>
          <w:tcPr>
            <w:tcW w:w="1417" w:type="dxa"/>
          </w:tcPr>
          <w:p w14:paraId="4C3BDDAF">
            <w:pPr>
              <w:spacing w:line="240" w:lineRule="auto"/>
              <w:ind w:firstLine="0" w:firstLineChars="0"/>
              <w:rPr>
                <w:color w:val="auto"/>
                <w:sz w:val="24"/>
                <w:highlight w:val="none"/>
              </w:rPr>
            </w:pPr>
          </w:p>
        </w:tc>
        <w:tc>
          <w:tcPr>
            <w:tcW w:w="851" w:type="dxa"/>
          </w:tcPr>
          <w:p w14:paraId="2FB471FE">
            <w:pPr>
              <w:spacing w:line="240" w:lineRule="auto"/>
              <w:ind w:firstLine="0" w:firstLineChars="0"/>
              <w:rPr>
                <w:color w:val="auto"/>
                <w:sz w:val="24"/>
                <w:highlight w:val="none"/>
              </w:rPr>
            </w:pPr>
          </w:p>
        </w:tc>
        <w:tc>
          <w:tcPr>
            <w:tcW w:w="2347" w:type="dxa"/>
          </w:tcPr>
          <w:p w14:paraId="3885FAEF">
            <w:pPr>
              <w:spacing w:line="240" w:lineRule="auto"/>
              <w:ind w:firstLine="0" w:firstLineChars="0"/>
              <w:rPr>
                <w:color w:val="auto"/>
                <w:sz w:val="24"/>
                <w:highlight w:val="none"/>
              </w:rPr>
            </w:pPr>
            <w:r>
              <w:rPr>
                <w:rFonts w:hint="eastAsia"/>
                <w:color w:val="auto"/>
                <w:sz w:val="24"/>
                <w:highlight w:val="none"/>
              </w:rPr>
              <w:t>建立项目专项管理、资金专款专用管理制度，得</w:t>
            </w:r>
            <w:r>
              <w:rPr>
                <w:color w:val="auto"/>
                <w:sz w:val="24"/>
                <w:highlight w:val="none"/>
              </w:rPr>
              <w:t>5分。</w:t>
            </w:r>
          </w:p>
        </w:tc>
      </w:tr>
      <w:tr w14:paraId="6402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DE97B62">
            <w:pPr>
              <w:spacing w:line="240" w:lineRule="auto"/>
              <w:ind w:firstLine="0" w:firstLineChars="0"/>
              <w:rPr>
                <w:color w:val="auto"/>
                <w:sz w:val="24"/>
                <w:highlight w:val="none"/>
              </w:rPr>
            </w:pPr>
            <w:r>
              <w:rPr>
                <w:rFonts w:hint="eastAsia"/>
                <w:color w:val="auto"/>
                <w:sz w:val="24"/>
                <w:highlight w:val="none"/>
              </w:rPr>
              <w:t>8</w:t>
            </w:r>
          </w:p>
        </w:tc>
        <w:tc>
          <w:tcPr>
            <w:tcW w:w="2060" w:type="dxa"/>
          </w:tcPr>
          <w:p w14:paraId="012F4C9A">
            <w:pPr>
              <w:spacing w:line="240" w:lineRule="auto"/>
              <w:ind w:firstLine="0" w:firstLineChars="0"/>
              <w:jc w:val="left"/>
              <w:rPr>
                <w:color w:val="auto"/>
                <w:sz w:val="24"/>
                <w:highlight w:val="none"/>
              </w:rPr>
            </w:pPr>
            <w:r>
              <w:rPr>
                <w:rFonts w:hint="eastAsia"/>
                <w:color w:val="auto"/>
                <w:sz w:val="24"/>
                <w:highlight w:val="none"/>
              </w:rPr>
              <w:t>工作对接积极性</w:t>
            </w:r>
          </w:p>
        </w:tc>
        <w:tc>
          <w:tcPr>
            <w:tcW w:w="917" w:type="dxa"/>
          </w:tcPr>
          <w:p w14:paraId="0E9A55F0">
            <w:pPr>
              <w:spacing w:line="240" w:lineRule="auto"/>
              <w:ind w:firstLine="0" w:firstLineChars="0"/>
              <w:rPr>
                <w:color w:val="auto"/>
                <w:sz w:val="24"/>
                <w:highlight w:val="none"/>
              </w:rPr>
            </w:pPr>
            <w:r>
              <w:rPr>
                <w:rFonts w:hint="eastAsia"/>
                <w:color w:val="auto"/>
                <w:sz w:val="24"/>
                <w:highlight w:val="none"/>
              </w:rPr>
              <w:t>5</w:t>
            </w:r>
          </w:p>
        </w:tc>
        <w:tc>
          <w:tcPr>
            <w:tcW w:w="1417" w:type="dxa"/>
          </w:tcPr>
          <w:p w14:paraId="51DF8F2F">
            <w:pPr>
              <w:spacing w:line="240" w:lineRule="auto"/>
              <w:ind w:firstLine="0" w:firstLineChars="0"/>
              <w:rPr>
                <w:color w:val="auto"/>
                <w:sz w:val="24"/>
                <w:highlight w:val="none"/>
              </w:rPr>
            </w:pPr>
          </w:p>
        </w:tc>
        <w:tc>
          <w:tcPr>
            <w:tcW w:w="851" w:type="dxa"/>
          </w:tcPr>
          <w:p w14:paraId="0884EFDB">
            <w:pPr>
              <w:spacing w:line="240" w:lineRule="auto"/>
              <w:ind w:firstLine="0" w:firstLineChars="0"/>
              <w:rPr>
                <w:color w:val="auto"/>
                <w:sz w:val="24"/>
                <w:highlight w:val="none"/>
              </w:rPr>
            </w:pPr>
          </w:p>
        </w:tc>
        <w:tc>
          <w:tcPr>
            <w:tcW w:w="2347" w:type="dxa"/>
          </w:tcPr>
          <w:p w14:paraId="6EF26465">
            <w:pPr>
              <w:spacing w:line="240" w:lineRule="auto"/>
              <w:ind w:firstLine="0" w:firstLineChars="0"/>
              <w:rPr>
                <w:color w:val="auto"/>
                <w:sz w:val="24"/>
                <w:highlight w:val="none"/>
              </w:rPr>
            </w:pPr>
            <w:r>
              <w:rPr>
                <w:rFonts w:hint="eastAsia"/>
                <w:color w:val="auto"/>
                <w:sz w:val="24"/>
                <w:highlight w:val="none"/>
              </w:rPr>
              <w:t>按要求及时上报资金申请、绩效评价等工作所需的各项报表及相关证明材料，最高得</w:t>
            </w:r>
            <w:r>
              <w:rPr>
                <w:color w:val="auto"/>
                <w:sz w:val="24"/>
                <w:highlight w:val="none"/>
              </w:rPr>
              <w:t>5分。</w:t>
            </w:r>
          </w:p>
        </w:tc>
      </w:tr>
      <w:tr w14:paraId="42EC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B2EAB47">
            <w:pPr>
              <w:spacing w:line="240" w:lineRule="auto"/>
              <w:ind w:firstLine="0" w:firstLineChars="0"/>
              <w:rPr>
                <w:color w:val="auto"/>
                <w:sz w:val="24"/>
                <w:highlight w:val="none"/>
              </w:rPr>
            </w:pPr>
            <w:r>
              <w:rPr>
                <w:rFonts w:hint="eastAsia"/>
                <w:color w:val="auto"/>
                <w:sz w:val="24"/>
                <w:highlight w:val="none"/>
              </w:rPr>
              <w:t>9</w:t>
            </w:r>
          </w:p>
        </w:tc>
        <w:tc>
          <w:tcPr>
            <w:tcW w:w="2060" w:type="dxa"/>
          </w:tcPr>
          <w:p w14:paraId="186D8ACD">
            <w:pPr>
              <w:spacing w:line="240" w:lineRule="auto"/>
              <w:ind w:firstLine="0" w:firstLineChars="0"/>
              <w:jc w:val="left"/>
              <w:rPr>
                <w:color w:val="auto"/>
                <w:sz w:val="24"/>
                <w:highlight w:val="none"/>
              </w:rPr>
            </w:pPr>
            <w:r>
              <w:rPr>
                <w:rFonts w:hint="eastAsia"/>
                <w:color w:val="auto"/>
                <w:sz w:val="24"/>
                <w:highlight w:val="none"/>
              </w:rPr>
              <w:t>社会影响力</w:t>
            </w:r>
          </w:p>
        </w:tc>
        <w:tc>
          <w:tcPr>
            <w:tcW w:w="917" w:type="dxa"/>
          </w:tcPr>
          <w:p w14:paraId="3D72A34E">
            <w:pPr>
              <w:spacing w:line="240" w:lineRule="auto"/>
              <w:ind w:firstLine="0" w:firstLineChars="0"/>
              <w:rPr>
                <w:color w:val="auto"/>
                <w:sz w:val="24"/>
                <w:highlight w:val="none"/>
              </w:rPr>
            </w:pPr>
            <w:r>
              <w:rPr>
                <w:rFonts w:hint="eastAsia"/>
                <w:color w:val="auto"/>
                <w:sz w:val="24"/>
                <w:highlight w:val="none"/>
              </w:rPr>
              <w:t>2</w:t>
            </w:r>
          </w:p>
        </w:tc>
        <w:tc>
          <w:tcPr>
            <w:tcW w:w="1417" w:type="dxa"/>
          </w:tcPr>
          <w:p w14:paraId="71EFB017">
            <w:pPr>
              <w:spacing w:line="240" w:lineRule="auto"/>
              <w:ind w:firstLine="0" w:firstLineChars="0"/>
              <w:rPr>
                <w:color w:val="auto"/>
                <w:sz w:val="24"/>
                <w:highlight w:val="none"/>
              </w:rPr>
            </w:pPr>
          </w:p>
        </w:tc>
        <w:tc>
          <w:tcPr>
            <w:tcW w:w="851" w:type="dxa"/>
          </w:tcPr>
          <w:p w14:paraId="13434A82">
            <w:pPr>
              <w:spacing w:line="240" w:lineRule="auto"/>
              <w:ind w:firstLine="0" w:firstLineChars="0"/>
              <w:rPr>
                <w:color w:val="auto"/>
                <w:sz w:val="24"/>
                <w:highlight w:val="none"/>
              </w:rPr>
            </w:pPr>
          </w:p>
        </w:tc>
        <w:tc>
          <w:tcPr>
            <w:tcW w:w="2347" w:type="dxa"/>
          </w:tcPr>
          <w:p w14:paraId="178E234A">
            <w:pPr>
              <w:spacing w:line="240" w:lineRule="auto"/>
              <w:ind w:firstLine="0" w:firstLineChars="0"/>
              <w:rPr>
                <w:color w:val="auto"/>
                <w:sz w:val="24"/>
                <w:highlight w:val="none"/>
              </w:rPr>
            </w:pPr>
            <w:r>
              <w:rPr>
                <w:rFonts w:hint="eastAsia"/>
                <w:color w:val="auto"/>
                <w:sz w:val="24"/>
                <w:highlight w:val="none"/>
              </w:rPr>
              <w:t>按要求定期报送商质量专报，得</w:t>
            </w:r>
            <w:r>
              <w:rPr>
                <w:color w:val="auto"/>
                <w:sz w:val="24"/>
                <w:highlight w:val="none"/>
              </w:rPr>
              <w:t>1分，典型经验或做法能够在全国或全省范围内推广的，得1分。</w:t>
            </w:r>
          </w:p>
        </w:tc>
      </w:tr>
      <w:tr w14:paraId="2CFA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878217F">
            <w:pPr>
              <w:spacing w:line="240" w:lineRule="auto"/>
              <w:ind w:firstLine="0" w:firstLineChars="0"/>
              <w:rPr>
                <w:color w:val="auto"/>
                <w:sz w:val="24"/>
                <w:highlight w:val="none"/>
              </w:rPr>
            </w:pPr>
            <w:r>
              <w:rPr>
                <w:rFonts w:hint="eastAsia"/>
                <w:color w:val="auto"/>
                <w:sz w:val="24"/>
                <w:highlight w:val="none"/>
              </w:rPr>
              <w:t>1</w:t>
            </w:r>
            <w:r>
              <w:rPr>
                <w:color w:val="auto"/>
                <w:sz w:val="24"/>
                <w:highlight w:val="none"/>
              </w:rPr>
              <w:t>0</w:t>
            </w:r>
          </w:p>
        </w:tc>
        <w:tc>
          <w:tcPr>
            <w:tcW w:w="2060" w:type="dxa"/>
          </w:tcPr>
          <w:p w14:paraId="73A9E08C">
            <w:pPr>
              <w:spacing w:line="240" w:lineRule="auto"/>
              <w:ind w:firstLine="0" w:firstLineChars="0"/>
              <w:jc w:val="left"/>
              <w:rPr>
                <w:color w:val="auto"/>
                <w:sz w:val="24"/>
                <w:highlight w:val="none"/>
              </w:rPr>
            </w:pPr>
            <w:r>
              <w:rPr>
                <w:rFonts w:hint="eastAsia"/>
                <w:color w:val="auto"/>
                <w:sz w:val="24"/>
                <w:highlight w:val="none"/>
              </w:rPr>
              <w:t>企业间合作情况</w:t>
            </w:r>
          </w:p>
        </w:tc>
        <w:tc>
          <w:tcPr>
            <w:tcW w:w="917" w:type="dxa"/>
          </w:tcPr>
          <w:p w14:paraId="57184BC6">
            <w:pPr>
              <w:spacing w:line="240" w:lineRule="auto"/>
              <w:ind w:firstLine="0" w:firstLineChars="0"/>
              <w:rPr>
                <w:color w:val="auto"/>
                <w:sz w:val="24"/>
                <w:highlight w:val="none"/>
              </w:rPr>
            </w:pPr>
            <w:r>
              <w:rPr>
                <w:rFonts w:hint="eastAsia"/>
                <w:color w:val="auto"/>
                <w:sz w:val="24"/>
                <w:highlight w:val="none"/>
              </w:rPr>
              <w:t>1</w:t>
            </w:r>
          </w:p>
        </w:tc>
        <w:tc>
          <w:tcPr>
            <w:tcW w:w="1417" w:type="dxa"/>
          </w:tcPr>
          <w:p w14:paraId="5A1FE0F1">
            <w:pPr>
              <w:spacing w:line="240" w:lineRule="auto"/>
              <w:ind w:firstLine="0" w:firstLineChars="0"/>
              <w:rPr>
                <w:color w:val="auto"/>
                <w:sz w:val="24"/>
                <w:highlight w:val="none"/>
              </w:rPr>
            </w:pPr>
          </w:p>
        </w:tc>
        <w:tc>
          <w:tcPr>
            <w:tcW w:w="851" w:type="dxa"/>
          </w:tcPr>
          <w:p w14:paraId="14055A9D">
            <w:pPr>
              <w:spacing w:line="240" w:lineRule="auto"/>
              <w:ind w:firstLine="0" w:firstLineChars="0"/>
              <w:rPr>
                <w:color w:val="auto"/>
                <w:sz w:val="24"/>
                <w:highlight w:val="none"/>
              </w:rPr>
            </w:pPr>
          </w:p>
        </w:tc>
        <w:tc>
          <w:tcPr>
            <w:tcW w:w="2347" w:type="dxa"/>
          </w:tcPr>
          <w:p w14:paraId="2C720371">
            <w:pPr>
              <w:spacing w:line="240" w:lineRule="auto"/>
              <w:ind w:firstLine="0" w:firstLineChars="0"/>
              <w:rPr>
                <w:color w:val="auto"/>
                <w:sz w:val="24"/>
                <w:highlight w:val="none"/>
              </w:rPr>
            </w:pPr>
            <w:r>
              <w:rPr>
                <w:rFonts w:hint="eastAsia"/>
                <w:color w:val="auto"/>
                <w:sz w:val="24"/>
                <w:highlight w:val="none"/>
              </w:rPr>
              <w:t>聚焦共建共用综合11</w:t>
            </w:r>
            <w:r>
              <w:rPr>
                <w:color w:val="auto"/>
                <w:sz w:val="24"/>
                <w:highlight w:val="none"/>
              </w:rPr>
              <w:t>1</w:t>
            </w:r>
            <w:r>
              <w:rPr>
                <w:rFonts w:hint="eastAsia"/>
                <w:color w:val="auto"/>
                <w:sz w:val="24"/>
                <w:highlight w:val="none"/>
              </w:rPr>
              <w:t>货运枢纽、培育经营多式联运线路等方面与跨区域、跨方式、上下游之同规模企业形成稳定合作、联盟且执行良好的，得</w:t>
            </w:r>
            <w:r>
              <w:rPr>
                <w:color w:val="auto"/>
                <w:sz w:val="24"/>
                <w:highlight w:val="none"/>
              </w:rPr>
              <w:t>1分。</w:t>
            </w:r>
          </w:p>
        </w:tc>
      </w:tr>
      <w:tr w14:paraId="30E9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F71758D">
            <w:pPr>
              <w:spacing w:line="240" w:lineRule="auto"/>
              <w:ind w:firstLine="0" w:firstLineChars="0"/>
              <w:rPr>
                <w:color w:val="auto"/>
                <w:sz w:val="24"/>
                <w:highlight w:val="none"/>
              </w:rPr>
            </w:pPr>
            <w:r>
              <w:rPr>
                <w:rFonts w:hint="eastAsia"/>
                <w:color w:val="auto"/>
                <w:sz w:val="24"/>
                <w:highlight w:val="none"/>
              </w:rPr>
              <w:t>1</w:t>
            </w:r>
            <w:r>
              <w:rPr>
                <w:color w:val="auto"/>
                <w:sz w:val="24"/>
                <w:highlight w:val="none"/>
              </w:rPr>
              <w:t>1</w:t>
            </w:r>
          </w:p>
        </w:tc>
        <w:tc>
          <w:tcPr>
            <w:tcW w:w="2060" w:type="dxa"/>
          </w:tcPr>
          <w:p w14:paraId="3EB7A4E6">
            <w:pPr>
              <w:spacing w:line="240" w:lineRule="auto"/>
              <w:ind w:firstLine="0" w:firstLineChars="0"/>
              <w:jc w:val="left"/>
              <w:rPr>
                <w:color w:val="auto"/>
                <w:sz w:val="24"/>
                <w:highlight w:val="none"/>
              </w:rPr>
            </w:pPr>
            <w:r>
              <w:rPr>
                <w:rFonts w:hint="eastAsia"/>
                <w:color w:val="auto"/>
                <w:sz w:val="24"/>
                <w:highlight w:val="none"/>
              </w:rPr>
              <w:t>运输服务贡献度</w:t>
            </w:r>
          </w:p>
        </w:tc>
        <w:tc>
          <w:tcPr>
            <w:tcW w:w="917" w:type="dxa"/>
          </w:tcPr>
          <w:p w14:paraId="263DDD01">
            <w:pPr>
              <w:spacing w:line="240" w:lineRule="auto"/>
              <w:ind w:firstLine="0" w:firstLineChars="0"/>
              <w:rPr>
                <w:color w:val="auto"/>
                <w:sz w:val="24"/>
                <w:highlight w:val="none"/>
              </w:rPr>
            </w:pPr>
            <w:r>
              <w:rPr>
                <w:rFonts w:hint="eastAsia"/>
                <w:color w:val="auto"/>
                <w:sz w:val="24"/>
                <w:highlight w:val="none"/>
              </w:rPr>
              <w:t>1</w:t>
            </w:r>
          </w:p>
        </w:tc>
        <w:tc>
          <w:tcPr>
            <w:tcW w:w="1417" w:type="dxa"/>
          </w:tcPr>
          <w:p w14:paraId="2E5433D9">
            <w:pPr>
              <w:spacing w:line="240" w:lineRule="auto"/>
              <w:ind w:firstLine="0" w:firstLineChars="0"/>
              <w:rPr>
                <w:color w:val="auto"/>
                <w:sz w:val="24"/>
                <w:highlight w:val="none"/>
              </w:rPr>
            </w:pPr>
          </w:p>
        </w:tc>
        <w:tc>
          <w:tcPr>
            <w:tcW w:w="851" w:type="dxa"/>
          </w:tcPr>
          <w:p w14:paraId="6F55E66B">
            <w:pPr>
              <w:spacing w:line="240" w:lineRule="auto"/>
              <w:ind w:firstLine="0" w:firstLineChars="0"/>
              <w:rPr>
                <w:color w:val="auto"/>
                <w:sz w:val="24"/>
                <w:highlight w:val="none"/>
              </w:rPr>
            </w:pPr>
          </w:p>
        </w:tc>
        <w:tc>
          <w:tcPr>
            <w:tcW w:w="2347" w:type="dxa"/>
          </w:tcPr>
          <w:p w14:paraId="4D7587DD">
            <w:pPr>
              <w:spacing w:line="240" w:lineRule="auto"/>
              <w:ind w:firstLine="0" w:firstLineChars="0"/>
              <w:rPr>
                <w:color w:val="auto"/>
                <w:sz w:val="24"/>
                <w:highlight w:val="none"/>
              </w:rPr>
            </w:pPr>
            <w:r>
              <w:rPr>
                <w:rFonts w:hint="eastAsia"/>
                <w:color w:val="auto"/>
                <w:sz w:val="24"/>
                <w:highlight w:val="none"/>
              </w:rPr>
              <w:t>所在</w:t>
            </w:r>
            <w:r>
              <w:rPr>
                <w:color w:val="auto"/>
                <w:sz w:val="24"/>
                <w:highlight w:val="none"/>
              </w:rPr>
              <w:t>/依托枢纽在“多式联运量年均增长率”、“国际班列线路的新增线路及运量年均增长率”等方面，对沈阳市国家综合货运枢纽补链强链工作绩</w:t>
            </w:r>
            <w:r>
              <w:rPr>
                <w:rFonts w:hint="eastAsia"/>
                <w:color w:val="auto"/>
                <w:sz w:val="24"/>
                <w:highlight w:val="none"/>
              </w:rPr>
              <w:t>效评价结果有正面影响的，每方面得</w:t>
            </w:r>
            <w:r>
              <w:rPr>
                <w:color w:val="auto"/>
                <w:sz w:val="24"/>
                <w:highlight w:val="none"/>
              </w:rPr>
              <w:t>1分，最高得1分。</w:t>
            </w:r>
          </w:p>
        </w:tc>
      </w:tr>
      <w:tr w14:paraId="6257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21E1B91">
            <w:pPr>
              <w:spacing w:line="240" w:lineRule="auto"/>
              <w:ind w:firstLine="0" w:firstLineChars="0"/>
              <w:rPr>
                <w:color w:val="auto"/>
                <w:sz w:val="24"/>
                <w:highlight w:val="none"/>
              </w:rPr>
            </w:pPr>
            <w:r>
              <w:rPr>
                <w:rFonts w:hint="eastAsia"/>
                <w:color w:val="auto"/>
                <w:sz w:val="24"/>
                <w:highlight w:val="none"/>
              </w:rPr>
              <w:t>1</w:t>
            </w:r>
            <w:r>
              <w:rPr>
                <w:color w:val="auto"/>
                <w:sz w:val="24"/>
                <w:highlight w:val="none"/>
              </w:rPr>
              <w:t>2</w:t>
            </w:r>
          </w:p>
        </w:tc>
        <w:tc>
          <w:tcPr>
            <w:tcW w:w="2060" w:type="dxa"/>
          </w:tcPr>
          <w:p w14:paraId="281454C1">
            <w:pPr>
              <w:spacing w:line="240" w:lineRule="auto"/>
              <w:ind w:firstLine="0" w:firstLineChars="0"/>
              <w:jc w:val="left"/>
              <w:rPr>
                <w:color w:val="auto"/>
                <w:sz w:val="24"/>
                <w:highlight w:val="none"/>
              </w:rPr>
            </w:pPr>
            <w:r>
              <w:rPr>
                <w:rFonts w:hint="eastAsia"/>
                <w:color w:val="auto"/>
                <w:sz w:val="24"/>
                <w:highlight w:val="none"/>
              </w:rPr>
              <w:t>综合效率贡献度</w:t>
            </w:r>
          </w:p>
        </w:tc>
        <w:tc>
          <w:tcPr>
            <w:tcW w:w="917" w:type="dxa"/>
          </w:tcPr>
          <w:p w14:paraId="2F044A1B">
            <w:pPr>
              <w:spacing w:line="240" w:lineRule="auto"/>
              <w:ind w:firstLine="0" w:firstLineChars="0"/>
              <w:rPr>
                <w:color w:val="auto"/>
                <w:sz w:val="24"/>
                <w:highlight w:val="none"/>
              </w:rPr>
            </w:pPr>
            <w:r>
              <w:rPr>
                <w:rFonts w:hint="eastAsia"/>
                <w:color w:val="auto"/>
                <w:sz w:val="24"/>
                <w:highlight w:val="none"/>
              </w:rPr>
              <w:t>1</w:t>
            </w:r>
          </w:p>
        </w:tc>
        <w:tc>
          <w:tcPr>
            <w:tcW w:w="1417" w:type="dxa"/>
          </w:tcPr>
          <w:p w14:paraId="529BA70E">
            <w:pPr>
              <w:spacing w:line="240" w:lineRule="auto"/>
              <w:ind w:firstLine="0" w:firstLineChars="0"/>
              <w:rPr>
                <w:color w:val="auto"/>
                <w:sz w:val="24"/>
                <w:highlight w:val="none"/>
              </w:rPr>
            </w:pPr>
          </w:p>
        </w:tc>
        <w:tc>
          <w:tcPr>
            <w:tcW w:w="851" w:type="dxa"/>
          </w:tcPr>
          <w:p w14:paraId="3864953C">
            <w:pPr>
              <w:spacing w:line="240" w:lineRule="auto"/>
              <w:ind w:firstLine="0" w:firstLineChars="0"/>
              <w:rPr>
                <w:color w:val="auto"/>
                <w:sz w:val="24"/>
                <w:highlight w:val="none"/>
              </w:rPr>
            </w:pPr>
          </w:p>
        </w:tc>
        <w:tc>
          <w:tcPr>
            <w:tcW w:w="2347" w:type="dxa"/>
          </w:tcPr>
          <w:p w14:paraId="05BDEDC6">
            <w:pPr>
              <w:spacing w:line="240" w:lineRule="auto"/>
              <w:ind w:firstLine="0" w:firstLineChars="0"/>
              <w:rPr>
                <w:color w:val="auto"/>
                <w:sz w:val="24"/>
                <w:highlight w:val="none"/>
              </w:rPr>
            </w:pPr>
            <w:r>
              <w:rPr>
                <w:rFonts w:hint="eastAsia"/>
                <w:color w:val="auto"/>
                <w:sz w:val="24"/>
                <w:highlight w:val="none"/>
              </w:rPr>
              <w:t>所在</w:t>
            </w:r>
            <w:r>
              <w:rPr>
                <w:color w:val="auto"/>
                <w:sz w:val="24"/>
                <w:highlight w:val="none"/>
              </w:rPr>
              <w:t>/依托枢纽在标准化运载单元使用率、多式联运换装1小时完成率、应用多式联运运单或提单的集装箱多式联运量等方面，对沈阳市国家综合货运枢纽补链照链工作续效评价结果有正面影响的，每方面得05分，最高得1 分。</w:t>
            </w:r>
          </w:p>
        </w:tc>
      </w:tr>
      <w:tr w14:paraId="0E4B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86DBF30">
            <w:pPr>
              <w:spacing w:line="240" w:lineRule="auto"/>
              <w:ind w:firstLine="0" w:firstLineChars="0"/>
              <w:rPr>
                <w:color w:val="auto"/>
                <w:sz w:val="24"/>
                <w:highlight w:val="none"/>
              </w:rPr>
            </w:pPr>
            <w:r>
              <w:rPr>
                <w:rFonts w:hint="eastAsia"/>
                <w:color w:val="auto"/>
                <w:sz w:val="24"/>
                <w:highlight w:val="none"/>
              </w:rPr>
              <w:t>1</w:t>
            </w:r>
            <w:r>
              <w:rPr>
                <w:color w:val="auto"/>
                <w:sz w:val="24"/>
                <w:highlight w:val="none"/>
              </w:rPr>
              <w:t>3</w:t>
            </w:r>
          </w:p>
        </w:tc>
        <w:tc>
          <w:tcPr>
            <w:tcW w:w="2060" w:type="dxa"/>
          </w:tcPr>
          <w:p w14:paraId="154C5BB2">
            <w:pPr>
              <w:spacing w:line="240" w:lineRule="auto"/>
              <w:ind w:firstLine="0" w:firstLineChars="0"/>
              <w:jc w:val="left"/>
              <w:rPr>
                <w:color w:val="auto"/>
                <w:sz w:val="24"/>
                <w:highlight w:val="none"/>
              </w:rPr>
            </w:pPr>
            <w:r>
              <w:rPr>
                <w:rFonts w:hint="eastAsia"/>
                <w:color w:val="auto"/>
                <w:sz w:val="24"/>
                <w:highlight w:val="none"/>
              </w:rPr>
              <w:t>综合效益贡献度</w:t>
            </w:r>
          </w:p>
        </w:tc>
        <w:tc>
          <w:tcPr>
            <w:tcW w:w="917" w:type="dxa"/>
          </w:tcPr>
          <w:p w14:paraId="2D668B8A">
            <w:pPr>
              <w:spacing w:line="240" w:lineRule="auto"/>
              <w:ind w:firstLine="0" w:firstLineChars="0"/>
              <w:rPr>
                <w:color w:val="auto"/>
                <w:sz w:val="24"/>
                <w:highlight w:val="none"/>
              </w:rPr>
            </w:pPr>
            <w:r>
              <w:rPr>
                <w:rFonts w:hint="eastAsia"/>
                <w:color w:val="auto"/>
                <w:sz w:val="24"/>
                <w:highlight w:val="none"/>
              </w:rPr>
              <w:t>1</w:t>
            </w:r>
          </w:p>
        </w:tc>
        <w:tc>
          <w:tcPr>
            <w:tcW w:w="1417" w:type="dxa"/>
          </w:tcPr>
          <w:p w14:paraId="5203F8BC">
            <w:pPr>
              <w:spacing w:line="240" w:lineRule="auto"/>
              <w:ind w:firstLine="0" w:firstLineChars="0"/>
              <w:rPr>
                <w:color w:val="auto"/>
                <w:sz w:val="24"/>
                <w:highlight w:val="none"/>
              </w:rPr>
            </w:pPr>
          </w:p>
        </w:tc>
        <w:tc>
          <w:tcPr>
            <w:tcW w:w="851" w:type="dxa"/>
          </w:tcPr>
          <w:p w14:paraId="7D6A28B3">
            <w:pPr>
              <w:spacing w:line="240" w:lineRule="auto"/>
              <w:ind w:firstLine="0" w:firstLineChars="0"/>
              <w:rPr>
                <w:color w:val="auto"/>
                <w:sz w:val="24"/>
                <w:highlight w:val="none"/>
              </w:rPr>
            </w:pPr>
          </w:p>
        </w:tc>
        <w:tc>
          <w:tcPr>
            <w:tcW w:w="2347" w:type="dxa"/>
          </w:tcPr>
          <w:p w14:paraId="6CA84426">
            <w:pPr>
              <w:spacing w:line="240" w:lineRule="auto"/>
              <w:ind w:firstLine="0" w:firstLineChars="0"/>
              <w:rPr>
                <w:color w:val="auto"/>
                <w:sz w:val="24"/>
                <w:highlight w:val="none"/>
              </w:rPr>
            </w:pPr>
            <w:r>
              <w:rPr>
                <w:rFonts w:hint="eastAsia"/>
                <w:color w:val="auto"/>
                <w:sz w:val="24"/>
                <w:highlight w:val="none"/>
              </w:rPr>
              <w:t>所在</w:t>
            </w:r>
            <w:r>
              <w:rPr>
                <w:color w:val="auto"/>
                <w:sz w:val="24"/>
                <w:highlight w:val="none"/>
              </w:rPr>
              <w:t>/依托枢纽在“枢纽经济区上缴利税”“推进'公转铁’“公转涨:、推广应用清洁能源、更新清洁能源装备、碳排放统计核算和交易等方面实施有效举措”、“在保通保畅、应急保障、疫情防控、安全稳定等方面发挥重要作用”等方面，对沈阳市国家综合货运枢纽补链强链工作绩效评价结果有正面影响的，每方面得0.5分，最高得1分。</w:t>
            </w:r>
          </w:p>
        </w:tc>
      </w:tr>
      <w:tr w14:paraId="6D46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gridSpan w:val="2"/>
          </w:tcPr>
          <w:p w14:paraId="0762EDEC">
            <w:pPr>
              <w:spacing w:line="240" w:lineRule="auto"/>
              <w:ind w:firstLine="0" w:firstLineChars="0"/>
              <w:jc w:val="left"/>
              <w:rPr>
                <w:color w:val="auto"/>
                <w:sz w:val="24"/>
                <w:highlight w:val="none"/>
              </w:rPr>
            </w:pPr>
            <w:r>
              <w:rPr>
                <w:rFonts w:hint="eastAsia"/>
                <w:color w:val="auto"/>
                <w:sz w:val="24"/>
                <w:highlight w:val="none"/>
              </w:rPr>
              <w:t>最终绩效评价得分</w:t>
            </w:r>
            <w:r>
              <w:rPr>
                <w:color w:val="auto"/>
                <w:sz w:val="24"/>
                <w:highlight w:val="none"/>
              </w:rPr>
              <w:t>(满分100分)</w:t>
            </w:r>
          </w:p>
        </w:tc>
        <w:tc>
          <w:tcPr>
            <w:tcW w:w="3185" w:type="dxa"/>
            <w:gridSpan w:val="3"/>
          </w:tcPr>
          <w:p w14:paraId="24489526">
            <w:pPr>
              <w:spacing w:line="240" w:lineRule="auto"/>
              <w:ind w:firstLine="0" w:firstLineChars="0"/>
              <w:rPr>
                <w:color w:val="auto"/>
                <w:sz w:val="24"/>
                <w:highlight w:val="none"/>
              </w:rPr>
            </w:pPr>
            <w:r>
              <w:rPr>
                <w:rFonts w:hint="eastAsia"/>
                <w:color w:val="auto"/>
                <w:sz w:val="24"/>
                <w:highlight w:val="none"/>
              </w:rPr>
              <w:t>年度得分</w:t>
            </w:r>
          </w:p>
        </w:tc>
        <w:tc>
          <w:tcPr>
            <w:tcW w:w="2347" w:type="dxa"/>
          </w:tcPr>
          <w:p w14:paraId="0F8E9DBC">
            <w:pPr>
              <w:spacing w:line="240" w:lineRule="auto"/>
              <w:ind w:firstLine="0" w:firstLineChars="0"/>
              <w:rPr>
                <w:color w:val="auto"/>
                <w:sz w:val="24"/>
                <w:highlight w:val="none"/>
              </w:rPr>
            </w:pPr>
          </w:p>
        </w:tc>
      </w:tr>
      <w:tr w14:paraId="10B2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Pr>
          <w:p w14:paraId="4198744C">
            <w:pPr>
              <w:spacing w:line="240" w:lineRule="auto"/>
              <w:ind w:firstLine="0" w:firstLineChars="0"/>
              <w:rPr>
                <w:color w:val="auto"/>
                <w:sz w:val="24"/>
                <w:highlight w:val="none"/>
              </w:rPr>
            </w:pPr>
            <w:r>
              <w:rPr>
                <w:rFonts w:hint="eastAsia"/>
                <w:color w:val="auto"/>
                <w:sz w:val="24"/>
                <w:highlight w:val="none"/>
              </w:rPr>
              <w:t>出现以下情况，市交通运输局视严重程度研究是否纳入</w:t>
            </w:r>
            <w:r>
              <w:rPr>
                <w:color w:val="auto"/>
                <w:sz w:val="24"/>
                <w:highlight w:val="none"/>
              </w:rPr>
              <w:t>C档或D档:1.在综合货运枢纽方面被有关部门督察通报批评;2.市交通运输局、财政局发现相关问题并通报批评;3.涉及弄虚作假。</w:t>
            </w:r>
          </w:p>
        </w:tc>
      </w:tr>
      <w:tr w14:paraId="4678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Pr>
          <w:p w14:paraId="2DEB8F7F">
            <w:pPr>
              <w:spacing w:line="240" w:lineRule="auto"/>
              <w:ind w:firstLine="0" w:firstLineChars="0"/>
              <w:jc w:val="left"/>
              <w:rPr>
                <w:color w:val="auto"/>
                <w:sz w:val="24"/>
                <w:highlight w:val="none"/>
              </w:rPr>
            </w:pPr>
            <w:r>
              <w:rPr>
                <w:rFonts w:hint="eastAsia"/>
                <w:color w:val="auto"/>
                <w:sz w:val="24"/>
                <w:highlight w:val="none"/>
              </w:rPr>
              <w:t>说明：</w:t>
            </w:r>
          </w:p>
          <w:p w14:paraId="0499B15B">
            <w:pPr>
              <w:spacing w:line="240" w:lineRule="auto"/>
              <w:ind w:firstLine="0" w:firstLineChars="0"/>
              <w:jc w:val="left"/>
              <w:rPr>
                <w:color w:val="auto"/>
                <w:sz w:val="24"/>
                <w:highlight w:val="none"/>
              </w:rPr>
            </w:pPr>
            <w:r>
              <w:rPr>
                <w:rFonts w:hint="eastAsia"/>
                <w:color w:val="auto"/>
                <w:sz w:val="24"/>
                <w:highlight w:val="none"/>
              </w:rPr>
              <w:t>1</w:t>
            </w:r>
            <w:r>
              <w:rPr>
                <w:color w:val="auto"/>
                <w:sz w:val="24"/>
                <w:highlight w:val="none"/>
              </w:rPr>
              <w:t>.标有★的指标为竞争性指标，以市级评价为最终结果，根据全市项目横向对比结果</w:t>
            </w:r>
          </w:p>
          <w:p w14:paraId="623833A6">
            <w:pPr>
              <w:spacing w:line="240" w:lineRule="auto"/>
              <w:ind w:firstLine="0" w:firstLineChars="0"/>
              <w:jc w:val="left"/>
              <w:rPr>
                <w:color w:val="auto"/>
                <w:sz w:val="24"/>
                <w:highlight w:val="none"/>
              </w:rPr>
            </w:pPr>
            <w:r>
              <w:rPr>
                <w:rFonts w:hint="eastAsia"/>
                <w:color w:val="auto"/>
                <w:sz w:val="24"/>
                <w:highlight w:val="none"/>
              </w:rPr>
              <w:t>打分。</w:t>
            </w:r>
          </w:p>
          <w:p w14:paraId="7A5EE5FE">
            <w:pPr>
              <w:spacing w:line="240" w:lineRule="auto"/>
              <w:ind w:firstLine="0" w:firstLineChars="0"/>
              <w:jc w:val="left"/>
              <w:rPr>
                <w:color w:val="auto"/>
                <w:sz w:val="24"/>
                <w:highlight w:val="none"/>
              </w:rPr>
            </w:pPr>
            <w:r>
              <w:rPr>
                <w:color w:val="auto"/>
                <w:sz w:val="24"/>
                <w:highlight w:val="none"/>
              </w:rPr>
              <w:t>2.各项指标最低得分为0分，打分可保留至小数点后一位。</w:t>
            </w:r>
          </w:p>
          <w:p w14:paraId="5AA35174">
            <w:pPr>
              <w:spacing w:line="240" w:lineRule="auto"/>
              <w:ind w:firstLine="0" w:firstLineChars="0"/>
              <w:jc w:val="left"/>
              <w:rPr>
                <w:color w:val="auto"/>
                <w:sz w:val="24"/>
                <w:highlight w:val="none"/>
              </w:rPr>
            </w:pPr>
            <w:r>
              <w:rPr>
                <w:color w:val="auto"/>
                <w:sz w:val="24"/>
                <w:highlight w:val="none"/>
              </w:rPr>
              <w:t>3.非建设项目不参与指标“年度建设规模”的评价与竞争，该项分值合并至指标“建设进度”</w:t>
            </w:r>
          </w:p>
        </w:tc>
      </w:tr>
    </w:tbl>
    <w:p w14:paraId="66A0179C">
      <w:pPr>
        <w:ind w:firstLine="0" w:firstLineChars="0"/>
        <w:rPr>
          <w:color w:val="auto"/>
          <w:highlight w:val="none"/>
        </w:rPr>
      </w:pPr>
      <w:r>
        <w:rPr>
          <w:rFonts w:hint="eastAsia"/>
          <w:color w:val="auto"/>
          <w:highlight w:val="none"/>
        </w:rPr>
        <w:t>联系人及联系方式:</w:t>
      </w:r>
    </w:p>
    <w:p w14:paraId="26B69CDB">
      <w:pPr>
        <w:ind w:firstLine="0" w:firstLineChars="0"/>
        <w:rPr>
          <w:color w:val="auto"/>
          <w:highlight w:val="none"/>
        </w:rPr>
      </w:pPr>
      <w:r>
        <w:rPr>
          <w:rFonts w:hint="eastAsia"/>
          <w:color w:val="auto"/>
          <w:highlight w:val="none"/>
        </w:rPr>
        <w:t>项目单位(公章):</w:t>
      </w:r>
    </w:p>
    <w:p w14:paraId="46AC4796">
      <w:pPr>
        <w:ind w:firstLine="0" w:firstLineChars="0"/>
        <w:rPr>
          <w:color w:val="auto"/>
          <w:highlight w:val="none"/>
        </w:rPr>
      </w:pPr>
      <w:r>
        <w:rPr>
          <w:rFonts w:hint="eastAsia"/>
          <w:color w:val="auto"/>
          <w:highlight w:val="none"/>
        </w:rPr>
        <w:t>法定代表人(签字):</w:t>
      </w:r>
    </w:p>
    <w:p w14:paraId="3CFF7201">
      <w:pPr>
        <w:pStyle w:val="5"/>
        <w:rPr>
          <w:color w:val="auto"/>
          <w:highlight w:val="none"/>
        </w:rPr>
        <w:sectPr>
          <w:pgSz w:w="11906" w:h="16838"/>
          <w:pgMar w:top="1440" w:right="1800" w:bottom="1440" w:left="1800" w:header="851" w:footer="992" w:gutter="0"/>
          <w:cols w:space="425" w:num="1"/>
          <w:docGrid w:type="lines" w:linePitch="312" w:charSpace="0"/>
        </w:sectPr>
      </w:pPr>
    </w:p>
    <w:p w14:paraId="3A88EAF4">
      <w:pPr>
        <w:pStyle w:val="24"/>
        <w:rPr>
          <w:color w:val="auto"/>
          <w:highlight w:val="none"/>
        </w:rPr>
      </w:pPr>
      <w:r>
        <w:rPr>
          <w:rFonts w:hint="eastAsia"/>
          <w:color w:val="auto"/>
          <w:highlight w:val="none"/>
        </w:rPr>
        <w:t>附件</w:t>
      </w:r>
      <w:r>
        <w:rPr>
          <w:color w:val="auto"/>
          <w:highlight w:val="none"/>
        </w:rPr>
        <w:t>6</w:t>
      </w:r>
      <w:r>
        <w:rPr>
          <w:rFonts w:hint="eastAsia"/>
          <w:color w:val="auto"/>
          <w:highlight w:val="none"/>
        </w:rPr>
        <w:t>：</w:t>
      </w:r>
    </w:p>
    <w:p w14:paraId="31AA5CBF">
      <w:pPr>
        <w:pStyle w:val="5"/>
        <w:rPr>
          <w:color w:val="auto"/>
          <w:highlight w:val="none"/>
        </w:rPr>
      </w:pPr>
      <w:r>
        <w:rPr>
          <w:rFonts w:hint="eastAsia"/>
          <w:color w:val="auto"/>
          <w:highlight w:val="none"/>
        </w:rPr>
        <w:t>项目年度审计报告应包含的内容</w:t>
      </w:r>
    </w:p>
    <w:p w14:paraId="6CF35D19">
      <w:pPr>
        <w:rPr>
          <w:color w:val="auto"/>
          <w:highlight w:val="none"/>
        </w:rPr>
      </w:pPr>
    </w:p>
    <w:p w14:paraId="4EA0E82E">
      <w:pPr>
        <w:rPr>
          <w:color w:val="auto"/>
          <w:highlight w:val="none"/>
        </w:rPr>
      </w:pPr>
      <w:r>
        <w:rPr>
          <w:rFonts w:hint="eastAsia"/>
          <w:color w:val="auto"/>
          <w:highlight w:val="none"/>
        </w:rPr>
        <w:t>一、项目单位情况</w:t>
      </w:r>
    </w:p>
    <w:p w14:paraId="0DF81AB6">
      <w:pPr>
        <w:rPr>
          <w:color w:val="auto"/>
          <w:highlight w:val="none"/>
        </w:rPr>
      </w:pPr>
      <w:r>
        <w:rPr>
          <w:rFonts w:hint="eastAsia"/>
          <w:color w:val="auto"/>
          <w:highlight w:val="none"/>
        </w:rPr>
        <w:t>项目单位的所有制性质、股权结构(所有股东单位的所有制性质，如项目单位股权变更需说明)、主营业务等。</w:t>
      </w:r>
    </w:p>
    <w:p w14:paraId="02255E1C">
      <w:pPr>
        <w:rPr>
          <w:color w:val="auto"/>
          <w:highlight w:val="none"/>
        </w:rPr>
      </w:pPr>
      <w:r>
        <w:rPr>
          <w:rFonts w:hint="eastAsia"/>
          <w:color w:val="auto"/>
          <w:highlight w:val="none"/>
        </w:rPr>
        <w:t>二、项目融资方案落实情况</w:t>
      </w:r>
    </w:p>
    <w:p w14:paraId="6E980F2B">
      <w:pPr>
        <w:rPr>
          <w:color w:val="auto"/>
          <w:highlight w:val="none"/>
        </w:rPr>
      </w:pPr>
      <w:r>
        <w:rPr>
          <w:rFonts w:hint="eastAsia"/>
          <w:color w:val="auto"/>
          <w:highlight w:val="none"/>
        </w:rPr>
        <w:t>说明项目总体融资方案，分年度融资计划及实际落实情况。说明项目资本金比例是否合理合规，并且按计划进度逐年到位等情况。</w:t>
      </w:r>
    </w:p>
    <w:p w14:paraId="5A8ACAE6">
      <w:pPr>
        <w:rPr>
          <w:color w:val="auto"/>
          <w:highlight w:val="none"/>
        </w:rPr>
      </w:pPr>
      <w:r>
        <w:rPr>
          <w:rFonts w:hint="eastAsia"/>
          <w:color w:val="auto"/>
          <w:highlight w:val="none"/>
        </w:rPr>
        <w:t>说明项目所获得的中央奖补资金、省市财政资金、专项债等到位情况.</w:t>
      </w:r>
    </w:p>
    <w:p w14:paraId="1996C814">
      <w:pPr>
        <w:rPr>
          <w:color w:val="auto"/>
          <w:highlight w:val="none"/>
        </w:rPr>
      </w:pPr>
      <w:r>
        <w:rPr>
          <w:rFonts w:hint="eastAsia"/>
          <w:color w:val="auto"/>
          <w:highlight w:val="none"/>
        </w:rPr>
        <w:t>说明项目单位自有资金入账，贷款情款落实等情况。</w:t>
      </w:r>
    </w:p>
    <w:p w14:paraId="488657AB">
      <w:pPr>
        <w:rPr>
          <w:color w:val="auto"/>
          <w:highlight w:val="none"/>
        </w:rPr>
      </w:pPr>
      <w:r>
        <w:rPr>
          <w:rFonts w:hint="eastAsia"/>
          <w:color w:val="auto"/>
          <w:highlight w:val="none"/>
        </w:rPr>
        <w:t>三、项目总体投资进度情况</w:t>
      </w:r>
    </w:p>
    <w:p w14:paraId="64DE21FF">
      <w:pPr>
        <w:rPr>
          <w:color w:val="auto"/>
          <w:highlight w:val="none"/>
        </w:rPr>
      </w:pPr>
      <w:r>
        <w:rPr>
          <w:rFonts w:hint="eastAsia"/>
          <w:color w:val="auto"/>
          <w:highlight w:val="none"/>
        </w:rPr>
        <w:t>说明项目分年度计划完成投资、实际完成投资，明确资金往来证明、实际支持费用证明等。</w:t>
      </w:r>
    </w:p>
    <w:p w14:paraId="38CB1C89">
      <w:pPr>
        <w:rPr>
          <w:color w:val="auto"/>
          <w:highlight w:val="none"/>
        </w:rPr>
      </w:pPr>
      <w:r>
        <w:rPr>
          <w:rFonts w:hint="eastAsia"/>
          <w:color w:val="auto"/>
          <w:highlight w:val="none"/>
        </w:rPr>
        <w:t>说明项目分年度核定投资计划及实际落实情况，核算出项目累计完成核定投资。</w:t>
      </w:r>
    </w:p>
    <w:p w14:paraId="631298FF">
      <w:pPr>
        <w:rPr>
          <w:color w:val="auto"/>
          <w:highlight w:val="none"/>
        </w:rPr>
      </w:pPr>
      <w:r>
        <w:rPr>
          <w:rFonts w:hint="eastAsia"/>
          <w:color w:val="auto"/>
          <w:highlight w:val="none"/>
        </w:rPr>
        <w:t>四、中央奖补资金使用情况</w:t>
      </w:r>
    </w:p>
    <w:p w14:paraId="5B8457AF">
      <w:pPr>
        <w:rPr>
          <w:color w:val="auto"/>
          <w:highlight w:val="none"/>
        </w:rPr>
      </w:pPr>
      <w:r>
        <w:rPr>
          <w:rFonts w:hint="eastAsia"/>
          <w:color w:val="auto"/>
          <w:highlight w:val="none"/>
        </w:rPr>
        <w:t>说明中央奖补资金已投向的主要建设内容，与计划使用内容是否存在偏差。</w:t>
      </w:r>
    </w:p>
    <w:p w14:paraId="7F24C7BC">
      <w:pPr>
        <w:rPr>
          <w:color w:val="auto"/>
          <w:highlight w:val="none"/>
        </w:rPr>
      </w:pPr>
      <w:r>
        <w:rPr>
          <w:rFonts w:hint="eastAsia"/>
          <w:color w:val="auto"/>
          <w:highlight w:val="none"/>
        </w:rPr>
        <w:t>五、附件</w:t>
      </w:r>
    </w:p>
    <w:p w14:paraId="0E475835">
      <w:pPr>
        <w:rPr>
          <w:color w:val="auto"/>
          <w:highlight w:val="none"/>
        </w:rPr>
      </w:pPr>
      <w:r>
        <w:rPr>
          <w:rFonts w:hint="eastAsia"/>
          <w:color w:val="auto"/>
          <w:highlight w:val="none"/>
        </w:rPr>
        <w:t>包括但不限于各类财政资金下达至项目单位的拨款单等文件、项目单位财政资金收款证明或入账凭证、项目单位自有资金入账凭证、银行贷款借款合同及放款凭证、项目实际支持费用凭证或资金往来证明、当年和累计建安费投资额证明材料。</w:t>
      </w:r>
    </w:p>
    <w:p w14:paraId="21ADEF4E">
      <w:pPr>
        <w:rPr>
          <w:color w:val="auto"/>
          <w:highlight w:val="none"/>
        </w:rPr>
      </w:pPr>
      <w:r>
        <w:rPr>
          <w:rFonts w:hint="eastAsia"/>
          <w:color w:val="auto"/>
          <w:highlight w:val="none"/>
        </w:rPr>
        <w:t>注:以第三方财务审计单位出具的审计报告为准。</w:t>
      </w:r>
    </w:p>
    <w:p w14:paraId="3D955D0C">
      <w:pPr>
        <w:pStyle w:val="5"/>
        <w:rPr>
          <w:color w:val="auto"/>
          <w:highlight w:val="none"/>
        </w:rPr>
      </w:pPr>
    </w:p>
    <w:p w14:paraId="20899323">
      <w:pPr>
        <w:pStyle w:val="24"/>
        <w:rPr>
          <w:color w:val="auto"/>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pPr>
    </w:p>
    <w:p w14:paraId="261F5BB8">
      <w:pPr>
        <w:pStyle w:val="24"/>
        <w:rPr>
          <w:color w:val="auto"/>
          <w:highlight w:val="none"/>
        </w:rPr>
      </w:pPr>
      <w:r>
        <w:rPr>
          <w:rFonts w:hint="eastAsia"/>
          <w:color w:val="auto"/>
          <w:highlight w:val="none"/>
        </w:rPr>
        <w:t>附件</w:t>
      </w:r>
      <w:r>
        <w:rPr>
          <w:color w:val="auto"/>
          <w:highlight w:val="none"/>
        </w:rPr>
        <w:t>7</w:t>
      </w:r>
      <w:r>
        <w:rPr>
          <w:rFonts w:hint="eastAsia"/>
          <w:color w:val="auto"/>
          <w:highlight w:val="none"/>
        </w:rPr>
        <w:t>：</w:t>
      </w:r>
    </w:p>
    <w:p w14:paraId="272443F7">
      <w:pPr>
        <w:pStyle w:val="5"/>
        <w:spacing w:before="156" w:beforeLines="50"/>
        <w:rPr>
          <w:color w:val="auto"/>
          <w:highlight w:val="none"/>
        </w:rPr>
      </w:pPr>
      <w:r>
        <w:rPr>
          <w:rFonts w:hint="eastAsia"/>
          <w:color w:val="auto"/>
          <w:highlight w:val="none"/>
        </w:rPr>
        <w:t>年度监理或交工竣工验收报告</w:t>
      </w:r>
    </w:p>
    <w:p w14:paraId="1C0E6AD4">
      <w:pPr>
        <w:pStyle w:val="5"/>
        <w:spacing w:before="156" w:beforeLines="50"/>
        <w:rPr>
          <w:color w:val="auto"/>
          <w:highlight w:val="none"/>
        </w:rPr>
      </w:pPr>
      <w:r>
        <w:rPr>
          <w:rFonts w:hint="eastAsia"/>
          <w:color w:val="auto"/>
          <w:highlight w:val="none"/>
        </w:rPr>
        <w:t>应包含的内容</w:t>
      </w:r>
    </w:p>
    <w:p w14:paraId="74F73EDB">
      <w:pPr>
        <w:rPr>
          <w:color w:val="auto"/>
          <w:highlight w:val="none"/>
        </w:rPr>
      </w:pPr>
    </w:p>
    <w:p w14:paraId="3C5F6BB9">
      <w:pPr>
        <w:rPr>
          <w:color w:val="auto"/>
          <w:highlight w:val="none"/>
        </w:rPr>
      </w:pPr>
      <w:r>
        <w:rPr>
          <w:rFonts w:hint="eastAsia"/>
          <w:color w:val="auto"/>
          <w:highlight w:val="none"/>
        </w:rPr>
        <w:t>一、项目基本情况</w:t>
      </w:r>
    </w:p>
    <w:p w14:paraId="33B464B6">
      <w:pPr>
        <w:rPr>
          <w:color w:val="auto"/>
          <w:highlight w:val="none"/>
        </w:rPr>
      </w:pPr>
      <w:r>
        <w:rPr>
          <w:rFonts w:hint="eastAsia"/>
          <w:color w:val="auto"/>
          <w:highlight w:val="none"/>
        </w:rPr>
        <w:t>说明项目总体建设规模,实施期内分年度计划完成建设内容及规模。</w:t>
      </w:r>
    </w:p>
    <w:p w14:paraId="2A885F0E">
      <w:pPr>
        <w:rPr>
          <w:color w:val="auto"/>
          <w:highlight w:val="none"/>
        </w:rPr>
      </w:pPr>
      <w:r>
        <w:rPr>
          <w:rFonts w:hint="eastAsia"/>
          <w:color w:val="auto"/>
          <w:highlight w:val="none"/>
        </w:rPr>
        <w:t>二、项目总体建设进度情况</w:t>
      </w:r>
    </w:p>
    <w:p w14:paraId="4CB353C2">
      <w:pPr>
        <w:rPr>
          <w:color w:val="auto"/>
          <w:highlight w:val="none"/>
        </w:rPr>
      </w:pPr>
      <w:r>
        <w:rPr>
          <w:rFonts w:hint="eastAsia"/>
          <w:color w:val="auto"/>
          <w:highlight w:val="none"/>
        </w:rPr>
        <w:t>说明项目年度实际完成建设内容及规模。</w:t>
      </w:r>
    </w:p>
    <w:p w14:paraId="16A111BF">
      <w:pPr>
        <w:rPr>
          <w:color w:val="auto"/>
          <w:highlight w:val="none"/>
        </w:rPr>
      </w:pPr>
      <w:r>
        <w:rPr>
          <w:rFonts w:hint="eastAsia"/>
          <w:color w:val="auto"/>
          <w:highlight w:val="none"/>
        </w:rPr>
        <w:t>综合货运枢纽项目需说明新增或改造面积，包括建筑物、构筑物等;集疏运项目需说明新增或改扩建里程。两类项目均可按形象进度法，结合计量支付折合成建筑面积或公里数。</w:t>
      </w:r>
    </w:p>
    <w:p w14:paraId="77BDD8C2">
      <w:pPr>
        <w:rPr>
          <w:color w:val="auto"/>
          <w:highlight w:val="none"/>
        </w:rPr>
      </w:pPr>
      <w:r>
        <w:rPr>
          <w:rFonts w:hint="eastAsia"/>
          <w:color w:val="auto"/>
          <w:highlight w:val="none"/>
        </w:rPr>
        <w:t>三、中央奖补资金使用内容建设进展情况</w:t>
      </w:r>
    </w:p>
    <w:p w14:paraId="3C327ED0">
      <w:pPr>
        <w:rPr>
          <w:color w:val="auto"/>
          <w:highlight w:val="none"/>
        </w:rPr>
      </w:pPr>
      <w:r>
        <w:rPr>
          <w:rFonts w:hint="eastAsia"/>
          <w:color w:val="auto"/>
          <w:highlight w:val="none"/>
        </w:rPr>
        <w:t>说明中央奖补资金已投向的所有建设内容及建设进展。</w:t>
      </w:r>
    </w:p>
    <w:p w14:paraId="7837D4C4">
      <w:pPr>
        <w:rPr>
          <w:color w:val="auto"/>
          <w:highlight w:val="none"/>
        </w:rPr>
      </w:pPr>
      <w:r>
        <w:rPr>
          <w:rFonts w:hint="eastAsia"/>
          <w:color w:val="auto"/>
          <w:highlight w:val="none"/>
        </w:rPr>
        <w:t>四、附件</w:t>
      </w:r>
    </w:p>
    <w:p w14:paraId="357F9F87">
      <w:pPr>
        <w:rPr>
          <w:color w:val="auto"/>
          <w:highlight w:val="none"/>
        </w:rPr>
      </w:pPr>
      <w:r>
        <w:rPr>
          <w:rFonts w:hint="eastAsia"/>
          <w:color w:val="auto"/>
          <w:highlight w:val="none"/>
        </w:rPr>
        <w:t>包括但不限于现场照片、按照形象进度法计算过程等。</w:t>
      </w:r>
    </w:p>
    <w:p w14:paraId="006A8CDB">
      <w:pPr>
        <w:rPr>
          <w:color w:val="auto"/>
          <w:highlight w:val="none"/>
        </w:rPr>
      </w:pPr>
      <w:r>
        <w:rPr>
          <w:rFonts w:hint="eastAsia"/>
          <w:color w:val="auto"/>
          <w:highlight w:val="none"/>
        </w:rPr>
        <w:t>注:以第三方施工监理单位出具的监理报告或交工验收单等为准。</w:t>
      </w:r>
    </w:p>
    <w:p w14:paraId="2C14968F">
      <w:pPr>
        <w:pStyle w:val="5"/>
        <w:rPr>
          <w:color w:val="auto"/>
          <w:highlight w:val="none"/>
        </w:rPr>
      </w:pPr>
    </w:p>
    <w:p w14:paraId="42C4FE03">
      <w:pPr>
        <w:pStyle w:val="5"/>
        <w:rPr>
          <w:color w:val="auto"/>
          <w:highlight w:val="none"/>
        </w:rPr>
      </w:pPr>
    </w:p>
    <w:p w14:paraId="53211C66">
      <w:pPr>
        <w:pStyle w:val="24"/>
        <w:rPr>
          <w:color w:val="auto"/>
          <w:highlight w:val="none"/>
        </w:rPr>
        <w:sectPr>
          <w:pgSz w:w="11906" w:h="16838"/>
          <w:pgMar w:top="1440" w:right="1800" w:bottom="1440" w:left="1800" w:header="851" w:footer="992" w:gutter="0"/>
          <w:cols w:space="425" w:num="1"/>
          <w:docGrid w:type="lines" w:linePitch="312" w:charSpace="0"/>
        </w:sectPr>
      </w:pPr>
    </w:p>
    <w:p w14:paraId="1A519392">
      <w:pPr>
        <w:pStyle w:val="24"/>
        <w:rPr>
          <w:color w:val="auto"/>
          <w:highlight w:val="none"/>
        </w:rPr>
      </w:pPr>
      <w:r>
        <w:rPr>
          <w:rFonts w:hint="eastAsia"/>
          <w:color w:val="auto"/>
          <w:highlight w:val="none"/>
        </w:rPr>
        <w:t>附件</w:t>
      </w:r>
      <w:r>
        <w:rPr>
          <w:color w:val="auto"/>
          <w:highlight w:val="none"/>
        </w:rPr>
        <w:t>8</w:t>
      </w:r>
      <w:r>
        <w:rPr>
          <w:rFonts w:hint="eastAsia"/>
          <w:color w:val="auto"/>
          <w:highlight w:val="none"/>
        </w:rPr>
        <w:t>：</w:t>
      </w:r>
    </w:p>
    <w:p w14:paraId="18F17F53">
      <w:pPr>
        <w:pStyle w:val="5"/>
        <w:rPr>
          <w:color w:val="auto"/>
          <w:highlight w:val="none"/>
        </w:rPr>
      </w:pPr>
      <w:r>
        <w:rPr>
          <w:rFonts w:hint="eastAsia"/>
          <w:color w:val="auto"/>
          <w:highlight w:val="none"/>
        </w:rPr>
        <w:t>XXX局、区（县、市）人民政府、管委会</w:t>
      </w:r>
      <w:r>
        <w:rPr>
          <w:color w:val="auto"/>
          <w:highlight w:val="none"/>
        </w:rPr>
        <w:br w:type="textWrapping"/>
      </w:r>
      <w:r>
        <w:rPr>
          <w:color w:val="auto"/>
          <w:highlight w:val="none"/>
        </w:rPr>
        <w:t>国家综合货运枢纽补链强链工作绩效自评报告提纲</w:t>
      </w:r>
    </w:p>
    <w:p w14:paraId="03AE58FD">
      <w:pPr>
        <w:pStyle w:val="9"/>
        <w:rPr>
          <w:color w:val="auto"/>
          <w:highlight w:val="none"/>
          <w:lang w:eastAsia="zh-CN"/>
        </w:rPr>
      </w:pPr>
    </w:p>
    <w:p w14:paraId="5298A079">
      <w:pPr>
        <w:pStyle w:val="35"/>
        <w:rPr>
          <w:color w:val="auto"/>
          <w:highlight w:val="none"/>
        </w:rPr>
      </w:pPr>
      <w:r>
        <w:rPr>
          <w:color w:val="auto"/>
          <w:highlight w:val="none"/>
        </w:rPr>
        <w:t>一、总体工作情况</w:t>
      </w:r>
    </w:p>
    <w:p w14:paraId="4451357F">
      <w:pPr>
        <w:rPr>
          <w:color w:val="auto"/>
          <w:highlight w:val="none"/>
        </w:rPr>
      </w:pPr>
      <w:r>
        <w:rPr>
          <w:rStyle w:val="17"/>
          <w:rFonts w:hint="eastAsia"/>
          <w:color w:val="auto"/>
          <w:highlight w:val="none"/>
        </w:rPr>
        <w:t>（一）项目概况。</w:t>
      </w:r>
      <w:r>
        <w:rPr>
          <w:color w:val="auto"/>
          <w:highlight w:val="none"/>
        </w:rPr>
        <w:t>实施城市国家综合货运枢纽补链强链工作总体执行情况，上一年度执行情况，实施方案目标完成情况，执行项目数量，地方政策配套情况等。</w:t>
      </w:r>
    </w:p>
    <w:p w14:paraId="7A7E266B">
      <w:pPr>
        <w:rPr>
          <w:color w:val="auto"/>
          <w:highlight w:val="none"/>
        </w:rPr>
      </w:pPr>
      <w:r>
        <w:rPr>
          <w:rStyle w:val="17"/>
          <w:rFonts w:hint="eastAsia"/>
          <w:color w:val="auto"/>
          <w:highlight w:val="none"/>
        </w:rPr>
        <w:t>（二）项目建设情况。</w:t>
      </w:r>
      <w:r>
        <w:rPr>
          <w:color w:val="auto"/>
          <w:highlight w:val="none"/>
        </w:rPr>
        <w:t>项目前期工作落实情况;项目计划投资额、实际投资额和奖补资金使用情况；项目计划建设规模及实际建设进度，与实施方案确定的建设方案是否一致；项目功能是否符合补助要求等。</w:t>
      </w:r>
    </w:p>
    <w:p w14:paraId="5494DC8B">
      <w:pPr>
        <w:rPr>
          <w:color w:val="auto"/>
          <w:highlight w:val="none"/>
        </w:rPr>
      </w:pPr>
      <w:r>
        <w:rPr>
          <w:rStyle w:val="17"/>
          <w:rFonts w:hint="eastAsia"/>
          <w:color w:val="auto"/>
          <w:highlight w:val="none"/>
        </w:rPr>
        <w:t>（三）项目绩效目标。</w:t>
      </w:r>
      <w:r>
        <w:rPr>
          <w:color w:val="auto"/>
          <w:highlight w:val="none"/>
        </w:rPr>
        <w:t>包括总体目标和阶段性目标。</w:t>
      </w:r>
    </w:p>
    <w:p w14:paraId="6DDD9C22">
      <w:pPr>
        <w:pStyle w:val="35"/>
        <w:rPr>
          <w:color w:val="auto"/>
          <w:highlight w:val="none"/>
        </w:rPr>
      </w:pPr>
      <w:r>
        <w:rPr>
          <w:color w:val="auto"/>
          <w:highlight w:val="none"/>
        </w:rPr>
        <w:t>二、绩效自评工作开展情况</w:t>
      </w:r>
    </w:p>
    <w:p w14:paraId="69BBA3CF">
      <w:pPr>
        <w:rPr>
          <w:rStyle w:val="17"/>
          <w:color w:val="auto"/>
          <w:highlight w:val="none"/>
        </w:rPr>
      </w:pPr>
      <w:r>
        <w:rPr>
          <w:rStyle w:val="17"/>
          <w:rFonts w:hint="eastAsia"/>
          <w:color w:val="auto"/>
          <w:highlight w:val="none"/>
        </w:rPr>
        <w:t>（一）绩效自评工作过程。</w:t>
      </w:r>
    </w:p>
    <w:p w14:paraId="5E8825EC">
      <w:pPr>
        <w:rPr>
          <w:rStyle w:val="17"/>
          <w:color w:val="auto"/>
          <w:highlight w:val="none"/>
        </w:rPr>
      </w:pPr>
      <w:r>
        <w:rPr>
          <w:rStyle w:val="17"/>
          <w:rFonts w:hint="eastAsia"/>
          <w:color w:val="auto"/>
          <w:highlight w:val="none"/>
        </w:rPr>
        <w:t>（二）绩效自评表。</w:t>
      </w:r>
    </w:p>
    <w:p w14:paraId="2823B3E4">
      <w:pPr>
        <w:rPr>
          <w:color w:val="auto"/>
          <w:highlight w:val="none"/>
        </w:rPr>
      </w:pPr>
      <w:r>
        <w:rPr>
          <w:rStyle w:val="17"/>
          <w:rFonts w:hint="eastAsia"/>
          <w:color w:val="auto"/>
          <w:highlight w:val="none"/>
        </w:rPr>
        <w:t>（三）绩效自评指标分析。</w:t>
      </w:r>
      <w:r>
        <w:rPr>
          <w:color w:val="auto"/>
          <w:highlight w:val="none"/>
        </w:rPr>
        <w:t>结合绩效评价表，从实施管理、实施产出、实施效益等指标完成情况进行分析。</w:t>
      </w:r>
    </w:p>
    <w:p w14:paraId="7CB8ED8B">
      <w:pPr>
        <w:pStyle w:val="35"/>
        <w:rPr>
          <w:color w:val="auto"/>
          <w:highlight w:val="none"/>
        </w:rPr>
      </w:pPr>
      <w:r>
        <w:rPr>
          <w:color w:val="auto"/>
          <w:highlight w:val="none"/>
        </w:rPr>
        <w:t>三、主要经验及做法、存在的问题及原因分析</w:t>
      </w:r>
    </w:p>
    <w:p w14:paraId="5D7DE4C8">
      <w:pPr>
        <w:rPr>
          <w:color w:val="auto"/>
          <w:highlight w:val="none"/>
        </w:rPr>
      </w:pPr>
      <w:r>
        <w:rPr>
          <w:color w:val="auto"/>
          <w:highlight w:val="none"/>
        </w:rPr>
        <w:t>综合评估城市国家综合货运枢纽补链强链工作主要经验及做法、存在的问题及原因分析。</w:t>
      </w:r>
    </w:p>
    <w:p w14:paraId="41BEAD17">
      <w:pPr>
        <w:pStyle w:val="35"/>
        <w:rPr>
          <w:color w:val="auto"/>
          <w:highlight w:val="none"/>
        </w:rPr>
      </w:pPr>
      <w:r>
        <w:rPr>
          <w:color w:val="auto"/>
          <w:highlight w:val="none"/>
        </w:rPr>
        <w:t>四、下一步工作计划</w:t>
      </w:r>
    </w:p>
    <w:p w14:paraId="71594DD0">
      <w:pPr>
        <w:pStyle w:val="5"/>
        <w:rPr>
          <w:color w:val="auto"/>
          <w:highlight w:val="none"/>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cols w:space="425" w:num="1"/>
          <w:docGrid w:type="lines" w:linePitch="312" w:charSpace="0"/>
        </w:sectPr>
      </w:pPr>
    </w:p>
    <w:p w14:paraId="41E986A6">
      <w:pPr>
        <w:pStyle w:val="5"/>
        <w:rPr>
          <w:color w:val="auto"/>
          <w:highlight w:val="none"/>
        </w:rPr>
        <w:sectPr>
          <w:headerReference r:id="rId25" w:type="first"/>
          <w:footerReference r:id="rId28" w:type="first"/>
          <w:headerReference r:id="rId23" w:type="default"/>
          <w:footerReference r:id="rId26" w:type="default"/>
          <w:headerReference r:id="rId24" w:type="even"/>
          <w:footerReference r:id="rId27" w:type="even"/>
          <w:pgSz w:w="11906" w:h="16838"/>
          <w:pgMar w:top="1440" w:right="1800" w:bottom="1440" w:left="1800" w:header="851" w:footer="992" w:gutter="0"/>
          <w:cols w:space="425" w:num="1"/>
          <w:docGrid w:type="lines" w:linePitch="312" w:charSpace="0"/>
        </w:sectPr>
      </w:pPr>
    </w:p>
    <w:p w14:paraId="49095163">
      <w:pPr>
        <w:pStyle w:val="5"/>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1389846637"/>
      <w:docPartObj>
        <w:docPartGallery w:val="autotext"/>
      </w:docPartObj>
    </w:sdtPr>
    <w:sdtEndPr>
      <w:rPr>
        <w:sz w:val="24"/>
        <w:szCs w:val="24"/>
      </w:rPr>
    </w:sdtEndPr>
    <w:sdtContent>
      <w:p w14:paraId="6E6E09C6">
        <w:pPr>
          <w:pStyle w:val="11"/>
          <w:ind w:firstLine="0" w:firstLineChars="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22</w:t>
        </w:r>
        <w:r>
          <w:rPr>
            <w:sz w:val="24"/>
            <w:szCs w:val="24"/>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E3303">
    <w:pPr>
      <w:pStyle w:val="11"/>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EFFC3">
    <w:pPr>
      <w:pStyle w:val="11"/>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C9F9B">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8B8B">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DDC85">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BF144">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9F497">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F53A">
    <w:pPr>
      <w:pStyle w:val="1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BDD61">
    <w:pPr>
      <w:pStyle w:val="1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F2953">
    <w:pPr>
      <w:pStyle w:val="11"/>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0415">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35831">
    <w:pPr>
      <w:pStyle w:val="12"/>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E9080">
    <w:pPr>
      <w:pStyle w:val="12"/>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CAB6A">
    <w:pPr>
      <w:pStyle w:val="12"/>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D0300">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558F7">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F54D7">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0906F">
    <w:pPr>
      <w:pStyle w:val="1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E7F06">
    <w:pPr>
      <w:pStyle w:val="1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90CC">
    <w:pPr>
      <w:pStyle w:val="12"/>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D678C">
    <w:pPr>
      <w:pStyle w:val="12"/>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1CAE0">
    <w:pPr>
      <w:pStyle w:val="12"/>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E6E0C">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06562A"/>
    <w:multiLevelType w:val="multilevel"/>
    <w:tmpl w:val="7006562A"/>
    <w:lvl w:ilvl="0" w:tentative="0">
      <w:start w:val="1"/>
      <w:numFmt w:val="chineseCountingThousand"/>
      <w:pStyle w:val="3"/>
      <w:lvlText w:val="第%1条"/>
      <w:lvlJc w:val="left"/>
      <w:pPr>
        <w:ind w:left="1002" w:hanging="440"/>
      </w:pPr>
      <w:rPr>
        <w:rFonts w:hint="eastAsia"/>
        <w:b/>
        <w:i w:val="0"/>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E820AEB"/>
    <w:multiLevelType w:val="multilevel"/>
    <w:tmpl w:val="7E820AEB"/>
    <w:lvl w:ilvl="0" w:tentative="0">
      <w:start w:val="5"/>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5OGE5YzVhNmM4ZDcwOWNiNWJmMGEwMmE2MzE4ZDEifQ=="/>
  </w:docVars>
  <w:rsids>
    <w:rsidRoot w:val="00F20D00"/>
    <w:rsid w:val="000104E5"/>
    <w:rsid w:val="0001248E"/>
    <w:rsid w:val="00013701"/>
    <w:rsid w:val="0002639F"/>
    <w:rsid w:val="000378A0"/>
    <w:rsid w:val="0004285A"/>
    <w:rsid w:val="00043EB6"/>
    <w:rsid w:val="00047408"/>
    <w:rsid w:val="000479BD"/>
    <w:rsid w:val="0005074E"/>
    <w:rsid w:val="000508A2"/>
    <w:rsid w:val="0006230D"/>
    <w:rsid w:val="00062EB9"/>
    <w:rsid w:val="000842A3"/>
    <w:rsid w:val="000A102A"/>
    <w:rsid w:val="000A4D2A"/>
    <w:rsid w:val="000B78D0"/>
    <w:rsid w:val="000C3B5B"/>
    <w:rsid w:val="000D48F3"/>
    <w:rsid w:val="000D4D79"/>
    <w:rsid w:val="000E1A22"/>
    <w:rsid w:val="000E4B6D"/>
    <w:rsid w:val="000F4D47"/>
    <w:rsid w:val="000F6128"/>
    <w:rsid w:val="00110D0D"/>
    <w:rsid w:val="00110EB4"/>
    <w:rsid w:val="00112CCD"/>
    <w:rsid w:val="00127B25"/>
    <w:rsid w:val="0013786C"/>
    <w:rsid w:val="00143E7B"/>
    <w:rsid w:val="00161B4D"/>
    <w:rsid w:val="00175A07"/>
    <w:rsid w:val="00187AAD"/>
    <w:rsid w:val="001D306A"/>
    <w:rsid w:val="001D4431"/>
    <w:rsid w:val="001D79D3"/>
    <w:rsid w:val="001F4A33"/>
    <w:rsid w:val="0020608A"/>
    <w:rsid w:val="00211603"/>
    <w:rsid w:val="00212EE1"/>
    <w:rsid w:val="002208D2"/>
    <w:rsid w:val="0024073B"/>
    <w:rsid w:val="00253D51"/>
    <w:rsid w:val="002576E1"/>
    <w:rsid w:val="002B5406"/>
    <w:rsid w:val="002C53D1"/>
    <w:rsid w:val="002C7670"/>
    <w:rsid w:val="002E0DE7"/>
    <w:rsid w:val="00311693"/>
    <w:rsid w:val="00324231"/>
    <w:rsid w:val="00340469"/>
    <w:rsid w:val="00383599"/>
    <w:rsid w:val="00384ED6"/>
    <w:rsid w:val="003A5541"/>
    <w:rsid w:val="003A5612"/>
    <w:rsid w:val="003C2509"/>
    <w:rsid w:val="003C605C"/>
    <w:rsid w:val="003F54CB"/>
    <w:rsid w:val="00411CC2"/>
    <w:rsid w:val="00431F10"/>
    <w:rsid w:val="00441807"/>
    <w:rsid w:val="00451360"/>
    <w:rsid w:val="00463152"/>
    <w:rsid w:val="0046760D"/>
    <w:rsid w:val="004A00E5"/>
    <w:rsid w:val="004B3266"/>
    <w:rsid w:val="004E1492"/>
    <w:rsid w:val="004E467F"/>
    <w:rsid w:val="004F0925"/>
    <w:rsid w:val="00511CED"/>
    <w:rsid w:val="00532F19"/>
    <w:rsid w:val="00551594"/>
    <w:rsid w:val="00583EFA"/>
    <w:rsid w:val="005B091F"/>
    <w:rsid w:val="005D754D"/>
    <w:rsid w:val="005E7978"/>
    <w:rsid w:val="005F4FE3"/>
    <w:rsid w:val="00603399"/>
    <w:rsid w:val="006060B7"/>
    <w:rsid w:val="00610D15"/>
    <w:rsid w:val="00637B70"/>
    <w:rsid w:val="0064444B"/>
    <w:rsid w:val="00672EC8"/>
    <w:rsid w:val="00677B0C"/>
    <w:rsid w:val="00680CDA"/>
    <w:rsid w:val="006B43BA"/>
    <w:rsid w:val="006B6F70"/>
    <w:rsid w:val="006C6BCB"/>
    <w:rsid w:val="006D44CC"/>
    <w:rsid w:val="006F0665"/>
    <w:rsid w:val="00707D34"/>
    <w:rsid w:val="00720CBB"/>
    <w:rsid w:val="00742778"/>
    <w:rsid w:val="00743505"/>
    <w:rsid w:val="007512DC"/>
    <w:rsid w:val="0075519F"/>
    <w:rsid w:val="007821C1"/>
    <w:rsid w:val="007943E2"/>
    <w:rsid w:val="007B375B"/>
    <w:rsid w:val="007C54D2"/>
    <w:rsid w:val="007D23B9"/>
    <w:rsid w:val="007F0E42"/>
    <w:rsid w:val="007F3FFF"/>
    <w:rsid w:val="0080338A"/>
    <w:rsid w:val="00805417"/>
    <w:rsid w:val="00823EF7"/>
    <w:rsid w:val="0082449D"/>
    <w:rsid w:val="008600D8"/>
    <w:rsid w:val="00873AC2"/>
    <w:rsid w:val="0088228C"/>
    <w:rsid w:val="008A4BE6"/>
    <w:rsid w:val="008E0AFF"/>
    <w:rsid w:val="008F003A"/>
    <w:rsid w:val="008F5243"/>
    <w:rsid w:val="008F7524"/>
    <w:rsid w:val="009201EF"/>
    <w:rsid w:val="0093215D"/>
    <w:rsid w:val="00943593"/>
    <w:rsid w:val="00970E59"/>
    <w:rsid w:val="00982A27"/>
    <w:rsid w:val="009C2626"/>
    <w:rsid w:val="009D26C1"/>
    <w:rsid w:val="009F4F21"/>
    <w:rsid w:val="00A12F44"/>
    <w:rsid w:val="00A21827"/>
    <w:rsid w:val="00A31389"/>
    <w:rsid w:val="00A358E0"/>
    <w:rsid w:val="00A41A37"/>
    <w:rsid w:val="00A46A49"/>
    <w:rsid w:val="00A5795C"/>
    <w:rsid w:val="00A64E8D"/>
    <w:rsid w:val="00A72469"/>
    <w:rsid w:val="00A80C50"/>
    <w:rsid w:val="00A81A48"/>
    <w:rsid w:val="00AA449D"/>
    <w:rsid w:val="00AC0500"/>
    <w:rsid w:val="00AD637E"/>
    <w:rsid w:val="00AE0654"/>
    <w:rsid w:val="00B062CC"/>
    <w:rsid w:val="00B11DB1"/>
    <w:rsid w:val="00B60E13"/>
    <w:rsid w:val="00B74FC5"/>
    <w:rsid w:val="00B76148"/>
    <w:rsid w:val="00B86862"/>
    <w:rsid w:val="00B876D8"/>
    <w:rsid w:val="00B9697C"/>
    <w:rsid w:val="00BA4FB5"/>
    <w:rsid w:val="00BA6F00"/>
    <w:rsid w:val="00BB03DA"/>
    <w:rsid w:val="00BB5C71"/>
    <w:rsid w:val="00BB7A08"/>
    <w:rsid w:val="00BC7C54"/>
    <w:rsid w:val="00BE39AF"/>
    <w:rsid w:val="00BE79E5"/>
    <w:rsid w:val="00BF586D"/>
    <w:rsid w:val="00C25D30"/>
    <w:rsid w:val="00C35A82"/>
    <w:rsid w:val="00C43D9E"/>
    <w:rsid w:val="00C4596B"/>
    <w:rsid w:val="00C76876"/>
    <w:rsid w:val="00C9104B"/>
    <w:rsid w:val="00C9409C"/>
    <w:rsid w:val="00CA5258"/>
    <w:rsid w:val="00CB3266"/>
    <w:rsid w:val="00CB5800"/>
    <w:rsid w:val="00CC3A8E"/>
    <w:rsid w:val="00CE368F"/>
    <w:rsid w:val="00D03A5E"/>
    <w:rsid w:val="00D0781D"/>
    <w:rsid w:val="00D44AE6"/>
    <w:rsid w:val="00D81750"/>
    <w:rsid w:val="00D97B37"/>
    <w:rsid w:val="00DA2654"/>
    <w:rsid w:val="00DA6EAE"/>
    <w:rsid w:val="00DA7EBD"/>
    <w:rsid w:val="00DB1D0B"/>
    <w:rsid w:val="00DB754F"/>
    <w:rsid w:val="00DC7B04"/>
    <w:rsid w:val="00DF1744"/>
    <w:rsid w:val="00DF4A77"/>
    <w:rsid w:val="00E030C9"/>
    <w:rsid w:val="00E22DA2"/>
    <w:rsid w:val="00E4489A"/>
    <w:rsid w:val="00EB4DF4"/>
    <w:rsid w:val="00ED302E"/>
    <w:rsid w:val="00EE03B3"/>
    <w:rsid w:val="00EE37A7"/>
    <w:rsid w:val="00EF4C9B"/>
    <w:rsid w:val="00EF5682"/>
    <w:rsid w:val="00F1395A"/>
    <w:rsid w:val="00F20D00"/>
    <w:rsid w:val="00F54011"/>
    <w:rsid w:val="00F627C3"/>
    <w:rsid w:val="00F75162"/>
    <w:rsid w:val="00F76DD3"/>
    <w:rsid w:val="00FA66A2"/>
    <w:rsid w:val="00FB41EF"/>
    <w:rsid w:val="00FC3D69"/>
    <w:rsid w:val="00FD30A7"/>
    <w:rsid w:val="00FF3EAE"/>
    <w:rsid w:val="00FF65C0"/>
    <w:rsid w:val="09905D3B"/>
    <w:rsid w:val="32A42C2C"/>
    <w:rsid w:val="6A47646D"/>
    <w:rsid w:val="6B993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640" w:firstLineChars="200"/>
      <w:jc w:val="both"/>
    </w:pPr>
    <w:rPr>
      <w:rFonts w:ascii="仿宋_GB2312" w:eastAsia="仿宋_GB2312" w:hAnsiTheme="minorHAnsi" w:cstheme="minorBidi"/>
      <w:kern w:val="2"/>
      <w:sz w:val="32"/>
      <w:szCs w:val="24"/>
      <w:lang w:val="en-US" w:eastAsia="zh-CN" w:bidi="ar-SA"/>
    </w:rPr>
  </w:style>
  <w:style w:type="paragraph" w:styleId="2">
    <w:name w:val="heading 1"/>
    <w:basedOn w:val="3"/>
    <w:next w:val="1"/>
    <w:link w:val="20"/>
    <w:qFormat/>
    <w:uiPriority w:val="9"/>
    <w:pPr>
      <w:keepNext/>
      <w:numPr>
        <w:ilvl w:val="0"/>
        <w:numId w:val="0"/>
      </w:numPr>
      <w:jc w:val="center"/>
      <w:outlineLvl w:val="0"/>
    </w:pPr>
    <w:rPr>
      <w:rFonts w:ascii="黑体" w:hAnsi="黑体" w:eastAsia="黑体"/>
    </w:rPr>
  </w:style>
  <w:style w:type="paragraph" w:styleId="4">
    <w:name w:val="heading 2"/>
    <w:basedOn w:val="5"/>
    <w:next w:val="1"/>
    <w:link w:val="28"/>
    <w:unhideWhenUsed/>
    <w:qFormat/>
    <w:uiPriority w:val="9"/>
    <w:rPr>
      <w:rFonts w:ascii="楷体_GB2312" w:eastAsia="楷体_GB2312"/>
    </w:rPr>
  </w:style>
  <w:style w:type="paragraph" w:styleId="7">
    <w:name w:val="heading 3"/>
    <w:basedOn w:val="1"/>
    <w:next w:val="1"/>
    <w:link w:val="29"/>
    <w:unhideWhenUsed/>
    <w:qFormat/>
    <w:uiPriority w:val="9"/>
    <w:pPr>
      <w:outlineLvl w:val="2"/>
    </w:pPr>
  </w:style>
  <w:style w:type="paragraph" w:styleId="8">
    <w:name w:val="heading 4"/>
    <w:basedOn w:val="1"/>
    <w:next w:val="1"/>
    <w:link w:val="31"/>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numPr>
        <w:ilvl w:val="0"/>
        <w:numId w:val="1"/>
      </w:numPr>
      <w:ind w:left="0" w:firstLine="640"/>
    </w:pPr>
    <w:rPr>
      <w:szCs w:val="28"/>
    </w:rPr>
  </w:style>
  <w:style w:type="paragraph" w:customStyle="1" w:styleId="5">
    <w:name w:val="附件标题1"/>
    <w:basedOn w:val="6"/>
    <w:link w:val="27"/>
    <w:qFormat/>
    <w:uiPriority w:val="0"/>
    <w:pPr>
      <w:outlineLvl w:val="1"/>
    </w:pPr>
  </w:style>
  <w:style w:type="paragraph" w:styleId="6">
    <w:name w:val="Title"/>
    <w:basedOn w:val="1"/>
    <w:next w:val="1"/>
    <w:link w:val="26"/>
    <w:qFormat/>
    <w:uiPriority w:val="10"/>
    <w:pPr>
      <w:spacing w:before="312" w:beforeLines="100" w:line="640" w:lineRule="exact"/>
      <w:ind w:firstLine="0" w:firstLineChars="0"/>
      <w:jc w:val="center"/>
      <w:outlineLvl w:val="0"/>
    </w:pPr>
    <w:rPr>
      <w:rFonts w:ascii="方正小标宋_GBK" w:eastAsia="方正小标宋_GBK"/>
      <w:sz w:val="44"/>
      <w:szCs w:val="36"/>
    </w:rPr>
  </w:style>
  <w:style w:type="paragraph" w:styleId="9">
    <w:name w:val="Body Text"/>
    <w:basedOn w:val="1"/>
    <w:link w:val="30"/>
    <w:qFormat/>
    <w:uiPriority w:val="1"/>
    <w:pPr>
      <w:autoSpaceDE w:val="0"/>
      <w:autoSpaceDN w:val="0"/>
      <w:adjustRightInd/>
      <w:snapToGrid/>
      <w:spacing w:line="240" w:lineRule="auto"/>
      <w:ind w:firstLine="0" w:firstLineChars="0"/>
      <w:jc w:val="left"/>
    </w:pPr>
    <w:rPr>
      <w:rFonts w:ascii="仿宋" w:hAnsi="仿宋" w:eastAsia="仿宋" w:cs="仿宋"/>
      <w:kern w:val="0"/>
      <w:szCs w:val="32"/>
      <w:lang w:eastAsia="en-US"/>
    </w:rPr>
  </w:style>
  <w:style w:type="paragraph" w:styleId="10">
    <w:name w:val="Balloon Text"/>
    <w:basedOn w:val="1"/>
    <w:link w:val="45"/>
    <w:semiHidden/>
    <w:unhideWhenUsed/>
    <w:qFormat/>
    <w:uiPriority w:val="99"/>
    <w:pPr>
      <w:spacing w:line="240" w:lineRule="auto"/>
    </w:pPr>
    <w:rPr>
      <w:sz w:val="18"/>
      <w:szCs w:val="18"/>
    </w:rPr>
  </w:style>
  <w:style w:type="paragraph" w:styleId="11">
    <w:name w:val="footer"/>
    <w:basedOn w:val="1"/>
    <w:link w:val="19"/>
    <w:unhideWhenUsed/>
    <w:qFormat/>
    <w:uiPriority w:val="99"/>
    <w:pPr>
      <w:tabs>
        <w:tab w:val="center" w:pos="4153"/>
        <w:tab w:val="right" w:pos="8306"/>
      </w:tabs>
      <w:jc w:val="left"/>
    </w:pPr>
    <w:rPr>
      <w:sz w:val="18"/>
      <w:szCs w:val="18"/>
    </w:rPr>
  </w:style>
  <w:style w:type="paragraph" w:styleId="12">
    <w:name w:val="header"/>
    <w:basedOn w:val="1"/>
    <w:link w:val="18"/>
    <w:unhideWhenUsed/>
    <w:qFormat/>
    <w:uiPriority w:val="99"/>
    <w:pPr>
      <w:tabs>
        <w:tab w:val="center" w:pos="4153"/>
        <w:tab w:val="right" w:pos="8306"/>
      </w:tabs>
      <w:jc w:val="center"/>
    </w:pPr>
    <w:rPr>
      <w:sz w:val="18"/>
      <w:szCs w:val="18"/>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Emphasis"/>
    <w:qFormat/>
    <w:uiPriority w:val="20"/>
    <w:rPr>
      <w:rFonts w:ascii="楷体_GB2312" w:eastAsia="楷体_GB2312"/>
    </w:rPr>
  </w:style>
  <w:style w:type="character" w:customStyle="1" w:styleId="18">
    <w:name w:val="页眉 字符"/>
    <w:basedOn w:val="15"/>
    <w:link w:val="12"/>
    <w:qFormat/>
    <w:uiPriority w:val="99"/>
    <w:rPr>
      <w:sz w:val="18"/>
      <w:szCs w:val="18"/>
    </w:rPr>
  </w:style>
  <w:style w:type="character" w:customStyle="1" w:styleId="19">
    <w:name w:val="页脚 字符"/>
    <w:basedOn w:val="15"/>
    <w:link w:val="11"/>
    <w:qFormat/>
    <w:uiPriority w:val="99"/>
    <w:rPr>
      <w:sz w:val="18"/>
      <w:szCs w:val="18"/>
    </w:rPr>
  </w:style>
  <w:style w:type="character" w:customStyle="1" w:styleId="20">
    <w:name w:val="标题 1 字符"/>
    <w:basedOn w:val="15"/>
    <w:link w:val="2"/>
    <w:qFormat/>
    <w:uiPriority w:val="9"/>
    <w:rPr>
      <w:rFonts w:ascii="黑体" w:hAnsi="黑体" w:eastAsia="黑体"/>
      <w:sz w:val="32"/>
      <w:szCs w:val="28"/>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2">
    <w:name w:val="Intense Quote"/>
    <w:basedOn w:val="3"/>
    <w:next w:val="1"/>
    <w:link w:val="23"/>
    <w:qFormat/>
    <w:uiPriority w:val="30"/>
    <w:rPr>
      <w:color w:val="FF0000"/>
    </w:rPr>
  </w:style>
  <w:style w:type="character" w:customStyle="1" w:styleId="23">
    <w:name w:val="明显引用 字符"/>
    <w:basedOn w:val="15"/>
    <w:link w:val="22"/>
    <w:qFormat/>
    <w:uiPriority w:val="30"/>
    <w:rPr>
      <w:rFonts w:ascii="仿宋_GB2312" w:eastAsia="仿宋_GB2312"/>
      <w:color w:val="FF0000"/>
      <w:sz w:val="28"/>
    </w:rPr>
  </w:style>
  <w:style w:type="paragraph" w:customStyle="1" w:styleId="24">
    <w:name w:val="附件"/>
    <w:basedOn w:val="1"/>
    <w:link w:val="25"/>
    <w:qFormat/>
    <w:uiPriority w:val="0"/>
    <w:pPr>
      <w:ind w:firstLine="560"/>
      <w:outlineLvl w:val="0"/>
    </w:pPr>
    <w:rPr>
      <w:rFonts w:ascii="黑体" w:hAnsi="黑体" w:eastAsia="黑体"/>
      <w:sz w:val="28"/>
    </w:rPr>
  </w:style>
  <w:style w:type="character" w:customStyle="1" w:styleId="25">
    <w:name w:val="附件 字符"/>
    <w:basedOn w:val="15"/>
    <w:link w:val="24"/>
    <w:qFormat/>
    <w:uiPriority w:val="0"/>
    <w:rPr>
      <w:rFonts w:ascii="黑体" w:hAnsi="黑体" w:eastAsia="黑体"/>
      <w:sz w:val="28"/>
      <w:szCs w:val="24"/>
    </w:rPr>
  </w:style>
  <w:style w:type="character" w:customStyle="1" w:styleId="26">
    <w:name w:val="标题 字符"/>
    <w:basedOn w:val="15"/>
    <w:link w:val="6"/>
    <w:qFormat/>
    <w:uiPriority w:val="10"/>
    <w:rPr>
      <w:rFonts w:ascii="方正小标宋_GBK" w:eastAsia="方正小标宋_GBK"/>
      <w:sz w:val="44"/>
      <w:szCs w:val="36"/>
    </w:rPr>
  </w:style>
  <w:style w:type="character" w:customStyle="1" w:styleId="27">
    <w:name w:val="附件标题1 字符"/>
    <w:basedOn w:val="15"/>
    <w:link w:val="5"/>
    <w:qFormat/>
    <w:uiPriority w:val="0"/>
    <w:rPr>
      <w:rFonts w:ascii="方正小标宋_GBK" w:eastAsia="方正小标宋_GBK"/>
      <w:sz w:val="44"/>
      <w:szCs w:val="36"/>
    </w:rPr>
  </w:style>
  <w:style w:type="character" w:customStyle="1" w:styleId="28">
    <w:name w:val="标题 2 字符"/>
    <w:basedOn w:val="15"/>
    <w:link w:val="4"/>
    <w:qFormat/>
    <w:uiPriority w:val="9"/>
    <w:rPr>
      <w:rFonts w:ascii="楷体_GB2312" w:hAnsi="黑体" w:eastAsia="楷体_GB2312"/>
      <w:sz w:val="32"/>
      <w:szCs w:val="24"/>
    </w:rPr>
  </w:style>
  <w:style w:type="character" w:customStyle="1" w:styleId="29">
    <w:name w:val="标题 3 字符"/>
    <w:basedOn w:val="15"/>
    <w:link w:val="7"/>
    <w:qFormat/>
    <w:uiPriority w:val="9"/>
    <w:rPr>
      <w:rFonts w:ascii="仿宋_GB2312" w:eastAsia="仿宋_GB2312"/>
      <w:sz w:val="32"/>
      <w:szCs w:val="24"/>
    </w:rPr>
  </w:style>
  <w:style w:type="character" w:customStyle="1" w:styleId="30">
    <w:name w:val="正文文本 字符"/>
    <w:basedOn w:val="15"/>
    <w:link w:val="9"/>
    <w:qFormat/>
    <w:uiPriority w:val="1"/>
    <w:rPr>
      <w:rFonts w:ascii="仿宋" w:hAnsi="仿宋" w:eastAsia="仿宋" w:cs="仿宋"/>
      <w:kern w:val="0"/>
      <w:sz w:val="32"/>
      <w:szCs w:val="32"/>
      <w:lang w:eastAsia="en-US"/>
    </w:rPr>
  </w:style>
  <w:style w:type="character" w:customStyle="1" w:styleId="31">
    <w:name w:val="标题 4 字符"/>
    <w:basedOn w:val="15"/>
    <w:link w:val="8"/>
    <w:qFormat/>
    <w:uiPriority w:val="9"/>
    <w:rPr>
      <w:rFonts w:asciiTheme="majorHAnsi" w:hAnsiTheme="majorHAnsi" w:eastAsiaTheme="majorEastAsia" w:cstheme="majorBidi"/>
      <w:b/>
      <w:bCs/>
      <w:sz w:val="28"/>
      <w:szCs w:val="28"/>
    </w:rPr>
  </w:style>
  <w:style w:type="paragraph" w:customStyle="1" w:styleId="32">
    <w:name w:val="Revision"/>
    <w:hidden/>
    <w:semiHidden/>
    <w:qFormat/>
    <w:uiPriority w:val="99"/>
    <w:rPr>
      <w:rFonts w:ascii="仿宋_GB2312" w:eastAsia="仿宋_GB2312" w:hAnsiTheme="minorHAnsi" w:cstheme="minorBidi"/>
      <w:kern w:val="2"/>
      <w:sz w:val="32"/>
      <w:szCs w:val="24"/>
      <w:lang w:val="en-US" w:eastAsia="zh-CN" w:bidi="ar-SA"/>
    </w:rPr>
  </w:style>
  <w:style w:type="paragraph" w:customStyle="1" w:styleId="33">
    <w:name w:val="附件副标题"/>
    <w:basedOn w:val="1"/>
    <w:link w:val="34"/>
    <w:qFormat/>
    <w:uiPriority w:val="0"/>
    <w:pPr>
      <w:ind w:firstLine="0" w:firstLineChars="0"/>
      <w:jc w:val="center"/>
      <w:outlineLvl w:val="2"/>
    </w:pPr>
    <w:rPr>
      <w:rFonts w:ascii="楷体_GB2312" w:eastAsia="楷体_GB2312"/>
    </w:rPr>
  </w:style>
  <w:style w:type="character" w:customStyle="1" w:styleId="34">
    <w:name w:val="附件副标题 字符"/>
    <w:basedOn w:val="15"/>
    <w:link w:val="33"/>
    <w:qFormat/>
    <w:uiPriority w:val="0"/>
    <w:rPr>
      <w:rFonts w:ascii="楷体_GB2312" w:eastAsia="楷体_GB2312"/>
      <w:sz w:val="32"/>
      <w:szCs w:val="24"/>
    </w:rPr>
  </w:style>
  <w:style w:type="paragraph" w:customStyle="1" w:styleId="35">
    <w:name w:val="附件1级标题"/>
    <w:basedOn w:val="1"/>
    <w:link w:val="36"/>
    <w:qFormat/>
    <w:uiPriority w:val="0"/>
    <w:pPr>
      <w:outlineLvl w:val="3"/>
    </w:pPr>
    <w:rPr>
      <w:rFonts w:ascii="黑体" w:hAnsi="黑体" w:eastAsia="黑体"/>
    </w:rPr>
  </w:style>
  <w:style w:type="character" w:customStyle="1" w:styleId="36">
    <w:name w:val="附件1级标题 字符"/>
    <w:basedOn w:val="15"/>
    <w:link w:val="35"/>
    <w:qFormat/>
    <w:uiPriority w:val="0"/>
    <w:rPr>
      <w:rFonts w:ascii="黑体" w:hAnsi="黑体" w:eastAsia="黑体"/>
      <w:sz w:val="32"/>
      <w:szCs w:val="24"/>
    </w:rPr>
  </w:style>
  <w:style w:type="paragraph" w:customStyle="1" w:styleId="37">
    <w:name w:val="附件2级标题"/>
    <w:basedOn w:val="1"/>
    <w:link w:val="38"/>
    <w:qFormat/>
    <w:uiPriority w:val="0"/>
    <w:pPr>
      <w:outlineLvl w:val="4"/>
    </w:pPr>
    <w:rPr>
      <w:rFonts w:ascii="楷体_GB2312" w:eastAsia="楷体_GB2312"/>
    </w:rPr>
  </w:style>
  <w:style w:type="character" w:customStyle="1" w:styleId="38">
    <w:name w:val="附件2级标题 字符"/>
    <w:basedOn w:val="15"/>
    <w:link w:val="37"/>
    <w:qFormat/>
    <w:uiPriority w:val="0"/>
    <w:rPr>
      <w:rFonts w:ascii="楷体_GB2312" w:eastAsia="楷体_GB2312"/>
      <w:sz w:val="32"/>
      <w:szCs w:val="24"/>
    </w:rPr>
  </w:style>
  <w:style w:type="paragraph" w:customStyle="1" w:styleId="39">
    <w:name w:val="日期2"/>
    <w:basedOn w:val="9"/>
    <w:link w:val="40"/>
    <w:qFormat/>
    <w:uiPriority w:val="0"/>
    <w:pPr>
      <w:ind w:right="509" w:rightChars="159"/>
      <w:jc w:val="right"/>
    </w:pPr>
  </w:style>
  <w:style w:type="character" w:customStyle="1" w:styleId="40">
    <w:name w:val="日期2 字符"/>
    <w:basedOn w:val="30"/>
    <w:link w:val="39"/>
    <w:qFormat/>
    <w:uiPriority w:val="0"/>
    <w:rPr>
      <w:rFonts w:ascii="仿宋" w:hAnsi="仿宋" w:eastAsia="仿宋" w:cs="仿宋"/>
      <w:kern w:val="0"/>
      <w:sz w:val="32"/>
      <w:szCs w:val="32"/>
      <w:lang w:eastAsia="en-US"/>
    </w:rPr>
  </w:style>
  <w:style w:type="paragraph" w:customStyle="1" w:styleId="41">
    <w:name w:val="承诺书模板"/>
    <w:basedOn w:val="1"/>
    <w:link w:val="42"/>
    <w:qFormat/>
    <w:uiPriority w:val="0"/>
    <w:pPr>
      <w:spacing w:line="600" w:lineRule="exact"/>
      <w:ind w:firstLine="605"/>
    </w:pPr>
    <w:rPr>
      <w:w w:val="95"/>
    </w:rPr>
  </w:style>
  <w:style w:type="character" w:customStyle="1" w:styleId="42">
    <w:name w:val="承诺书模板 字符"/>
    <w:basedOn w:val="15"/>
    <w:link w:val="41"/>
    <w:qFormat/>
    <w:uiPriority w:val="0"/>
    <w:rPr>
      <w:rFonts w:ascii="仿宋_GB2312" w:eastAsia="仿宋_GB2312"/>
      <w:w w:val="95"/>
      <w:sz w:val="32"/>
      <w:szCs w:val="24"/>
    </w:rPr>
  </w:style>
  <w:style w:type="paragraph" w:customStyle="1" w:styleId="43">
    <w:name w:val="抬头"/>
    <w:basedOn w:val="1"/>
    <w:link w:val="44"/>
    <w:qFormat/>
    <w:uiPriority w:val="0"/>
    <w:pPr>
      <w:ind w:firstLine="0" w:firstLineChars="0"/>
    </w:pPr>
  </w:style>
  <w:style w:type="character" w:customStyle="1" w:styleId="44">
    <w:name w:val="抬头 字符"/>
    <w:basedOn w:val="15"/>
    <w:link w:val="43"/>
    <w:qFormat/>
    <w:uiPriority w:val="0"/>
    <w:rPr>
      <w:rFonts w:ascii="仿宋_GB2312" w:eastAsia="仿宋_GB2312"/>
      <w:sz w:val="32"/>
      <w:szCs w:val="24"/>
    </w:rPr>
  </w:style>
  <w:style w:type="character" w:customStyle="1" w:styleId="45">
    <w:name w:val="批注框文本 字符"/>
    <w:basedOn w:val="15"/>
    <w:link w:val="10"/>
    <w:semiHidden/>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6153</Words>
  <Characters>6230</Characters>
  <Lines>73</Lines>
  <Paragraphs>20</Paragraphs>
  <TotalTime>1169</TotalTime>
  <ScaleCrop>false</ScaleCrop>
  <LinksUpToDate>false</LinksUpToDate>
  <CharactersWithSpaces>6256</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2024-10-17T02:31:00Z</dcterms:created>
  <dc:creator>xu</dc:creator>
  <cp:lastModifiedBy>jtjwz</cp:lastModifiedBy>
  <dcterms:modified xsi:type="dcterms:W3CDTF">2024-11-11T01:35:18Z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5268010949984C96842D587090FDEC49_12</vt:lpwstr>
  </property>
</Properties>
</file>