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spacing w:before="480" w:line="380" w:lineRule="atLeast"/>
        <w:jc w:val="center"/>
        <w:rPr>
          <w:sz w:val="36"/>
          <w:szCs w:val="36"/>
        </w:rPr>
      </w:pPr>
      <w:r>
        <w:rPr>
          <w:sz w:val="36"/>
          <w:szCs w:val="36"/>
        </w:rPr>
        <w:t>评标办法（技术评分最低标价法）</w:t>
      </w:r>
    </w:p>
    <w:p>
      <w:pPr>
        <w:pStyle w:val="2"/>
        <w:wordWrap w:val="0"/>
        <w:spacing w:before="480" w:line="380" w:lineRule="atLeast"/>
        <w:rPr>
          <w:szCs w:val="24"/>
        </w:rPr>
      </w:pPr>
      <w:bookmarkStart w:id="0" w:name="_Toc196119656"/>
      <w:bookmarkStart w:id="1" w:name="_Toc13786"/>
      <w:r>
        <w:rPr>
          <w:szCs w:val="24"/>
        </w:rPr>
        <w:t>评标办法前附表</w:t>
      </w:r>
      <w:r>
        <w:rPr>
          <w:rStyle w:val="6"/>
          <w:sz w:val="28"/>
          <w:szCs w:val="28"/>
        </w:rPr>
        <w:footnoteReference w:id="0"/>
      </w:r>
      <w:bookmarkEnd w:id="0"/>
      <w:bookmarkEnd w:id="1"/>
    </w:p>
    <w:tbl>
      <w:tblPr>
        <w:tblStyle w:val="4"/>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6"/>
        <w:gridCol w:w="1225"/>
        <w:gridCol w:w="6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274" w:type="pct"/>
            <w:gridSpan w:val="2"/>
            <w:tcBorders>
              <w:top w:val="single" w:color="auto" w:sz="4" w:space="0"/>
              <w:bottom w:val="single" w:color="auto" w:sz="4" w:space="0"/>
              <w:right w:val="single" w:color="auto" w:sz="4" w:space="0"/>
            </w:tcBorders>
            <w:vAlign w:val="center"/>
          </w:tcPr>
          <w:p>
            <w:pPr>
              <w:wordWrap w:val="0"/>
              <w:spacing w:line="380" w:lineRule="atLeast"/>
              <w:jc w:val="center"/>
              <w:rPr>
                <w:b/>
                <w:szCs w:val="21"/>
              </w:rPr>
            </w:pPr>
            <w:r>
              <w:rPr>
                <w:b/>
                <w:szCs w:val="21"/>
              </w:rPr>
              <w:t>条款号</w:t>
            </w:r>
          </w:p>
        </w:tc>
        <w:tc>
          <w:tcPr>
            <w:tcW w:w="3725" w:type="pct"/>
            <w:tcBorders>
              <w:top w:val="single" w:color="auto" w:sz="4" w:space="0"/>
              <w:left w:val="single" w:color="auto" w:sz="4" w:space="0"/>
              <w:bottom w:val="single" w:color="auto" w:sz="4" w:space="0"/>
              <w:right w:val="single" w:color="auto" w:sz="4" w:space="0"/>
            </w:tcBorders>
            <w:vAlign w:val="center"/>
          </w:tcPr>
          <w:p>
            <w:pPr>
              <w:wordWrap w:val="0"/>
              <w:spacing w:line="380" w:lineRule="atLeast"/>
              <w:jc w:val="center"/>
              <w:rPr>
                <w:b/>
                <w:spacing w:val="4"/>
                <w:szCs w:val="21"/>
              </w:rPr>
            </w:pPr>
            <w:r>
              <w:rPr>
                <w:b/>
                <w:spacing w:val="4"/>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5" w:type="pct"/>
            <w:tcBorders>
              <w:top w:val="single" w:color="auto" w:sz="4" w:space="0"/>
              <w:bottom w:val="single" w:color="auto" w:sz="4" w:space="0"/>
              <w:right w:val="single" w:color="auto" w:sz="4" w:space="0"/>
            </w:tcBorders>
            <w:vAlign w:val="center"/>
          </w:tcPr>
          <w:p>
            <w:pPr>
              <w:wordWrap w:val="0"/>
              <w:spacing w:line="400" w:lineRule="atLeast"/>
              <w:jc w:val="center"/>
              <w:rPr>
                <w:szCs w:val="21"/>
              </w:rPr>
            </w:pPr>
            <w:r>
              <w:rPr>
                <w:szCs w:val="21"/>
              </w:rPr>
              <w:t>1</w:t>
            </w:r>
          </w:p>
        </w:tc>
        <w:tc>
          <w:tcPr>
            <w:tcW w:w="719" w:type="pct"/>
            <w:tcBorders>
              <w:top w:val="single" w:color="auto" w:sz="4" w:space="0"/>
              <w:bottom w:val="single" w:color="auto" w:sz="4" w:space="0"/>
              <w:right w:val="single" w:color="auto" w:sz="4" w:space="0"/>
            </w:tcBorders>
            <w:vAlign w:val="center"/>
          </w:tcPr>
          <w:p>
            <w:pPr>
              <w:wordWrap w:val="0"/>
              <w:spacing w:line="400" w:lineRule="atLeast"/>
              <w:jc w:val="center"/>
              <w:rPr>
                <w:szCs w:val="21"/>
              </w:rPr>
            </w:pPr>
            <w:r>
              <w:rPr>
                <w:szCs w:val="21"/>
              </w:rPr>
              <w:t>评标方法</w:t>
            </w:r>
          </w:p>
        </w:tc>
        <w:tc>
          <w:tcPr>
            <w:tcW w:w="3725" w:type="pct"/>
            <w:tcBorders>
              <w:top w:val="single" w:color="auto" w:sz="4" w:space="0"/>
              <w:left w:val="single" w:color="auto" w:sz="4" w:space="0"/>
              <w:right w:val="single" w:color="auto" w:sz="4" w:space="0"/>
            </w:tcBorders>
            <w:vAlign w:val="center"/>
          </w:tcPr>
          <w:p>
            <w:pPr>
              <w:wordWrap w:val="0"/>
              <w:spacing w:line="360" w:lineRule="atLeast"/>
              <w:ind w:firstLine="420" w:firstLineChars="200"/>
              <w:rPr>
                <w:szCs w:val="21"/>
              </w:rPr>
            </w:pPr>
            <w:r>
              <w:rPr>
                <w:szCs w:val="21"/>
              </w:rPr>
              <w:t>评标价相等时，评标委员会依次按照以下优先顺序推荐中标候选人或确定中标人：</w:t>
            </w:r>
          </w:p>
          <w:p>
            <w:pPr>
              <w:wordWrap w:val="0"/>
              <w:spacing w:line="360" w:lineRule="atLeast"/>
              <w:ind w:firstLine="420" w:firstLineChars="200"/>
              <w:rPr>
                <w:szCs w:val="21"/>
              </w:rPr>
            </w:pPr>
            <w:r>
              <w:rPr>
                <w:rFonts w:hint="eastAsia"/>
                <w:szCs w:val="21"/>
              </w:rPr>
              <w:t>（1）投标报价低的投标人优先；</w:t>
            </w:r>
          </w:p>
          <w:p>
            <w:pPr>
              <w:wordWrap w:val="0"/>
              <w:spacing w:line="360" w:lineRule="atLeast"/>
              <w:ind w:firstLine="420" w:firstLineChars="200"/>
              <w:rPr>
                <w:szCs w:val="21"/>
              </w:rPr>
            </w:pPr>
            <w:r>
              <w:rPr>
                <w:rFonts w:hint="eastAsia"/>
                <w:szCs w:val="21"/>
              </w:rPr>
              <w:t>（2）被招标项目所在地省级交通运输主管部门评为较高信用等级的投标人优先；</w:t>
            </w:r>
          </w:p>
          <w:p>
            <w:pPr>
              <w:wordWrap w:val="0"/>
              <w:spacing w:line="360" w:lineRule="atLeast"/>
              <w:ind w:firstLine="420" w:firstLineChars="200"/>
              <w:rPr>
                <w:szCs w:val="21"/>
              </w:rPr>
            </w:pPr>
            <w:r>
              <w:rPr>
                <w:rFonts w:hint="eastAsia"/>
                <w:szCs w:val="21"/>
              </w:rPr>
              <w:t>（3）商务和技术得分较高的投标人优先；</w:t>
            </w:r>
          </w:p>
          <w:p>
            <w:pPr>
              <w:wordWrap w:val="0"/>
              <w:spacing w:line="360" w:lineRule="atLeast"/>
              <w:ind w:firstLine="420" w:firstLineChars="200"/>
              <w:rPr>
                <w:szCs w:val="21"/>
              </w:rPr>
            </w:pPr>
            <w:r>
              <w:rPr>
                <w:rFonts w:hint="eastAsia"/>
                <w:szCs w:val="21"/>
              </w:rPr>
              <w:t>（4）企业业绩得分较高的投标人优先；</w:t>
            </w:r>
          </w:p>
          <w:p>
            <w:pPr>
              <w:wordWrap w:val="0"/>
              <w:spacing w:line="360" w:lineRule="atLeast"/>
              <w:ind w:firstLine="420" w:firstLineChars="200"/>
              <w:rPr>
                <w:szCs w:val="21"/>
              </w:rPr>
            </w:pPr>
            <w:r>
              <w:rPr>
                <w:rFonts w:hint="eastAsia"/>
                <w:szCs w:val="21"/>
              </w:rPr>
              <w:t>（5）项目管理机构得分较高的投标人优先；</w:t>
            </w:r>
          </w:p>
          <w:p>
            <w:pPr>
              <w:wordWrap w:val="0"/>
              <w:spacing w:line="360" w:lineRule="atLeast"/>
              <w:ind w:firstLine="420" w:firstLineChars="200"/>
              <w:rPr>
                <w:szCs w:val="21"/>
              </w:rPr>
            </w:pPr>
            <w:r>
              <w:rPr>
                <w:rFonts w:hint="eastAsia"/>
                <w:szCs w:val="21"/>
              </w:rPr>
              <w:t>（6）履约信誉得分较高的投标人优先；</w:t>
            </w:r>
          </w:p>
          <w:p>
            <w:pPr>
              <w:wordWrap w:val="0"/>
              <w:spacing w:line="360" w:lineRule="atLeast"/>
              <w:ind w:firstLine="420" w:firstLineChars="200"/>
              <w:rPr>
                <w:szCs w:val="21"/>
              </w:rPr>
            </w:pPr>
            <w:r>
              <w:rPr>
                <w:rFonts w:hint="eastAsia"/>
                <w:szCs w:val="21"/>
              </w:rPr>
              <w:t>（7）施工组织设计得分较高的投标人优先；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5" w:type="pct"/>
            <w:tcBorders>
              <w:top w:val="single" w:color="auto" w:sz="4" w:space="0"/>
              <w:right w:val="single" w:color="auto" w:sz="4" w:space="0"/>
            </w:tcBorders>
            <w:vAlign w:val="center"/>
          </w:tcPr>
          <w:p>
            <w:pPr>
              <w:wordWrap w:val="0"/>
              <w:spacing w:line="380" w:lineRule="atLeast"/>
              <w:jc w:val="center"/>
              <w:rPr>
                <w:szCs w:val="21"/>
              </w:rPr>
            </w:pPr>
            <w:r>
              <w:rPr>
                <w:szCs w:val="21"/>
              </w:rPr>
              <w:t>2.1.1</w:t>
            </w:r>
          </w:p>
          <w:p>
            <w:pPr>
              <w:wordWrap w:val="0"/>
              <w:spacing w:line="380" w:lineRule="atLeast"/>
              <w:jc w:val="center"/>
              <w:rPr>
                <w:szCs w:val="21"/>
              </w:rPr>
            </w:pPr>
            <w:r>
              <w:rPr>
                <w:szCs w:val="21"/>
              </w:rPr>
              <w:t>2.1.3</w:t>
            </w:r>
          </w:p>
        </w:tc>
        <w:tc>
          <w:tcPr>
            <w:tcW w:w="719" w:type="pct"/>
            <w:tcBorders>
              <w:top w:val="single" w:color="auto" w:sz="4" w:space="0"/>
              <w:bottom w:val="single" w:color="auto" w:sz="4" w:space="0"/>
              <w:right w:val="single" w:color="auto" w:sz="4" w:space="0"/>
            </w:tcBorders>
            <w:vAlign w:val="center"/>
          </w:tcPr>
          <w:p>
            <w:pPr>
              <w:wordWrap w:val="0"/>
              <w:spacing w:line="380" w:lineRule="atLeast"/>
              <w:jc w:val="center"/>
              <w:rPr>
                <w:szCs w:val="21"/>
              </w:rPr>
            </w:pPr>
            <w:r>
              <w:rPr>
                <w:szCs w:val="21"/>
              </w:rPr>
              <w:t>形式评审与响应性评审标准</w:t>
            </w:r>
          </w:p>
        </w:tc>
        <w:tc>
          <w:tcPr>
            <w:tcW w:w="3725" w:type="pct"/>
            <w:tcBorders>
              <w:top w:val="single" w:color="auto" w:sz="4" w:space="0"/>
              <w:left w:val="single" w:color="auto" w:sz="4" w:space="0"/>
              <w:right w:val="single" w:color="auto" w:sz="4" w:space="0"/>
            </w:tcBorders>
            <w:vAlign w:val="center"/>
          </w:tcPr>
          <w:p>
            <w:pPr>
              <w:wordWrap w:val="0"/>
              <w:spacing w:line="360" w:lineRule="atLeast"/>
              <w:ind w:firstLine="422" w:firstLineChars="200"/>
              <w:rPr>
                <w:b/>
                <w:szCs w:val="21"/>
              </w:rPr>
            </w:pPr>
            <w:r>
              <w:rPr>
                <w:b/>
                <w:szCs w:val="21"/>
              </w:rPr>
              <w:t>第一个信封（商务及技术文件）评审标准：</w:t>
            </w:r>
          </w:p>
          <w:p>
            <w:pPr>
              <w:wordWrap w:val="0"/>
              <w:spacing w:line="360" w:lineRule="atLeast"/>
              <w:ind w:firstLine="420" w:firstLineChars="200"/>
              <w:rPr>
                <w:szCs w:val="21"/>
              </w:rPr>
            </w:pPr>
            <w:r>
              <w:rPr>
                <w:szCs w:val="21"/>
              </w:rPr>
              <w:t>（1）投标文件按照招标文件规定的格式、内容填写，字迹清晰可辨：</w:t>
            </w:r>
          </w:p>
          <w:p>
            <w:pPr>
              <w:wordWrap w:val="0"/>
              <w:spacing w:line="360" w:lineRule="atLeast"/>
              <w:ind w:firstLine="420" w:firstLineChars="200"/>
              <w:rPr>
                <w:szCs w:val="21"/>
              </w:rPr>
            </w:pPr>
            <w:r>
              <w:rPr>
                <w:szCs w:val="21"/>
              </w:rPr>
              <w:t>a.投标函按招标文件规定填报了项目名称、标段号、补遗书编号（如有）、工期、工程质量要求及安全目标；</w:t>
            </w:r>
          </w:p>
          <w:p>
            <w:pPr>
              <w:wordWrap w:val="0"/>
              <w:spacing w:line="360" w:lineRule="atLeast"/>
              <w:ind w:firstLine="420" w:firstLineChars="200"/>
              <w:rPr>
                <w:szCs w:val="21"/>
              </w:rPr>
            </w:pPr>
            <w:r>
              <w:rPr>
                <w:szCs w:val="21"/>
              </w:rPr>
              <w:t>b.投标函附录的所有数据均符合招标文件规定；</w:t>
            </w:r>
          </w:p>
          <w:p>
            <w:pPr>
              <w:wordWrap w:val="0"/>
              <w:spacing w:line="360" w:lineRule="atLeast"/>
              <w:ind w:firstLine="420" w:firstLineChars="200"/>
              <w:rPr>
                <w:szCs w:val="21"/>
              </w:rPr>
            </w:pPr>
            <w:r>
              <w:rPr>
                <w:szCs w:val="21"/>
              </w:rPr>
              <w:t>c.投标文件组成齐全完整，内容均按规定填写。</w:t>
            </w:r>
          </w:p>
          <w:p>
            <w:pPr>
              <w:wordWrap w:val="0"/>
              <w:spacing w:line="360" w:lineRule="atLeast"/>
              <w:ind w:firstLine="420" w:firstLineChars="200"/>
              <w:rPr>
                <w:szCs w:val="21"/>
              </w:rPr>
            </w:pPr>
            <w:r>
              <w:rPr>
                <w:szCs w:val="21"/>
              </w:rPr>
              <w:t>（2）投标文件上法定代表人或其委托代理人的签字、投标人的单位章盖章齐全，符合招标文件规定。</w:t>
            </w:r>
          </w:p>
          <w:p>
            <w:pPr>
              <w:wordWrap w:val="0"/>
              <w:spacing w:line="360" w:lineRule="atLeast"/>
              <w:ind w:firstLine="420" w:firstLineChars="200"/>
              <w:rPr>
                <w:szCs w:val="21"/>
              </w:rPr>
            </w:pPr>
            <w:r>
              <w:rPr>
                <w:szCs w:val="21"/>
              </w:rPr>
              <w:t>（</w:t>
            </w:r>
            <w:r>
              <w:rPr>
                <w:rFonts w:hint="eastAsia"/>
                <w:szCs w:val="21"/>
              </w:rPr>
              <w:t>3</w:t>
            </w:r>
            <w:r>
              <w:rPr>
                <w:szCs w:val="21"/>
              </w:rPr>
              <w:t>）投标人按照招标文件的规定提供了投标保证金：</w:t>
            </w:r>
          </w:p>
          <w:p>
            <w:pPr>
              <w:wordWrap w:val="0"/>
              <w:spacing w:line="360" w:lineRule="atLeast"/>
              <w:ind w:firstLine="420" w:firstLineChars="200"/>
              <w:rPr>
                <w:szCs w:val="21"/>
              </w:rPr>
            </w:pPr>
            <w:r>
              <w:rPr>
                <w:szCs w:val="21"/>
              </w:rPr>
              <w:t>a.投标保证金金额符合招标文件规定的金额，且投标保证金有效期不少于投标有效期；</w:t>
            </w:r>
          </w:p>
          <w:p>
            <w:pPr>
              <w:wordWrap w:val="0"/>
              <w:spacing w:line="360" w:lineRule="atLeast"/>
              <w:ind w:firstLine="420" w:firstLineChars="200"/>
              <w:rPr>
                <w:szCs w:val="21"/>
              </w:rPr>
            </w:pPr>
            <w:r>
              <w:rPr>
                <w:szCs w:val="21"/>
              </w:rPr>
              <w:t>b.若投标保证金采用现金或支票形式提交，投标人应在递交投标文件截止时间之前，将投标保证金由投标人的基本账户转入招标人指定账户；</w:t>
            </w:r>
          </w:p>
          <w:p>
            <w:pPr>
              <w:wordWrap w:val="0"/>
              <w:spacing w:line="360" w:lineRule="atLeast"/>
              <w:ind w:firstLine="420" w:firstLineChars="200"/>
              <w:rPr>
                <w:szCs w:val="21"/>
              </w:rPr>
            </w:pPr>
            <w:r>
              <w:rPr>
                <w:szCs w:val="21"/>
              </w:rPr>
              <w:t>c.若投标保证金采用银行保函形式提交，银行保函的格式、开具保函的银行均满足招标文件要求。</w:t>
            </w:r>
          </w:p>
          <w:p>
            <w:pPr>
              <w:wordWrap w:val="0"/>
              <w:spacing w:line="360" w:lineRule="atLeast"/>
              <w:ind w:firstLine="420" w:firstLineChars="200"/>
              <w:rPr>
                <w:szCs w:val="21"/>
              </w:rPr>
            </w:pPr>
            <w:bookmarkStart w:id="2" w:name="OLE_LINK3"/>
            <w:r>
              <w:rPr>
                <w:rFonts w:hint="eastAsia"/>
                <w:szCs w:val="21"/>
              </w:rPr>
              <w:t>d.若投标保证金采用电子保函形式提交，电子保函应由投标人自主选择的便企金融服务平台或金融机构出具，保函的有效期均满足招标文件要求，投标文件中提供了电子保函彩色影印件，且满足投标人须知前附表第3.4.1项规定。</w:t>
            </w:r>
          </w:p>
          <w:bookmarkEnd w:id="2"/>
          <w:p>
            <w:pPr>
              <w:wordWrap w:val="0"/>
              <w:spacing w:line="360" w:lineRule="atLeast"/>
              <w:ind w:firstLine="420" w:firstLineChars="200"/>
              <w:rPr>
                <w:szCs w:val="21"/>
              </w:rPr>
            </w:pPr>
            <w:r>
              <w:rPr>
                <w:szCs w:val="21"/>
              </w:rPr>
              <w:t>（</w:t>
            </w:r>
            <w:r>
              <w:rPr>
                <w:rFonts w:hint="eastAsia"/>
                <w:szCs w:val="21"/>
              </w:rPr>
              <w:t>4</w:t>
            </w:r>
            <w:r>
              <w:rPr>
                <w:szCs w:val="21"/>
              </w:rPr>
              <w:t>）投标人法定代表人授权委托代理人签署投标文件的，须提交授权委托书</w:t>
            </w:r>
            <w:r>
              <w:rPr>
                <w:rFonts w:hint="eastAsia"/>
                <w:b w:val="0"/>
                <w:bCs w:val="0"/>
                <w:szCs w:val="21"/>
                <w:lang w:val="en-US" w:eastAsia="zh-CN"/>
              </w:rPr>
              <w:t>及委托代理人的社保证明</w:t>
            </w:r>
            <w:r>
              <w:rPr>
                <w:b w:val="0"/>
                <w:bCs w:val="0"/>
                <w:szCs w:val="21"/>
              </w:rPr>
              <w:t>，且</w:t>
            </w:r>
            <w:r>
              <w:rPr>
                <w:szCs w:val="21"/>
              </w:rPr>
              <w:t>授权人和被授权人均在授权委托书上使用CA 数字证书加盖个人电子印章或电子签名章。</w:t>
            </w:r>
          </w:p>
          <w:p>
            <w:pPr>
              <w:wordWrap w:val="0"/>
              <w:spacing w:line="360" w:lineRule="atLeast"/>
              <w:ind w:firstLine="420" w:firstLineChars="200"/>
              <w:rPr>
                <w:szCs w:val="21"/>
              </w:rPr>
            </w:pPr>
            <w:r>
              <w:rPr>
                <w:szCs w:val="21"/>
              </w:rPr>
              <w:t>（</w:t>
            </w:r>
            <w:r>
              <w:rPr>
                <w:rFonts w:hint="eastAsia"/>
                <w:szCs w:val="21"/>
              </w:rPr>
              <w:t>5</w:t>
            </w:r>
            <w:r>
              <w:rPr>
                <w:szCs w:val="21"/>
              </w:rPr>
              <w:t>）投标人法定代表人亲自签署投标文件的，提供了法定代表人身份证明，且法定代表人在法定代表人身份证明上使用CA 数字证书加盖个人电子印章或电子签名章。</w:t>
            </w:r>
          </w:p>
          <w:p>
            <w:pPr>
              <w:wordWrap w:val="0"/>
              <w:spacing w:line="360" w:lineRule="atLeast"/>
              <w:ind w:firstLine="420" w:firstLineChars="200"/>
              <w:rPr>
                <w:szCs w:val="21"/>
              </w:rPr>
            </w:pPr>
            <w:r>
              <w:rPr>
                <w:szCs w:val="21"/>
              </w:rPr>
              <w:t>（</w:t>
            </w:r>
            <w:r>
              <w:rPr>
                <w:rFonts w:hint="eastAsia"/>
                <w:szCs w:val="21"/>
              </w:rPr>
              <w:t>6</w:t>
            </w:r>
            <w:r>
              <w:rPr>
                <w:szCs w:val="21"/>
              </w:rPr>
              <w:t>）投标人以联合体形式投标时，联合体满足招标文件的要求：投标人按照招标文件提供的格式签订了联合体协议书，</w:t>
            </w:r>
            <w:r>
              <w:t>明确各方承担连带责任，</w:t>
            </w:r>
            <w:r>
              <w:rPr>
                <w:szCs w:val="21"/>
              </w:rPr>
              <w:t>并明确了联合体牵头人</w:t>
            </w:r>
            <w:r>
              <w:rPr>
                <w:rFonts w:hint="eastAsia"/>
                <w:szCs w:val="21"/>
              </w:rPr>
              <w:t>。</w:t>
            </w:r>
          </w:p>
          <w:p>
            <w:pPr>
              <w:wordWrap w:val="0"/>
              <w:spacing w:line="360" w:lineRule="atLeast"/>
              <w:ind w:firstLine="420" w:firstLineChars="200"/>
              <w:rPr>
                <w:szCs w:val="21"/>
              </w:rPr>
            </w:pPr>
            <w:r>
              <w:rPr>
                <w:szCs w:val="21"/>
              </w:rPr>
              <w:t>（</w:t>
            </w:r>
            <w:r>
              <w:rPr>
                <w:rFonts w:hint="eastAsia"/>
                <w:szCs w:val="21"/>
              </w:rPr>
              <w:t>7</w:t>
            </w:r>
            <w:r>
              <w:rPr>
                <w:szCs w:val="21"/>
              </w:rPr>
              <w:t>）投标人如有分包计划，符合招标文件第二章</w:t>
            </w:r>
            <w:r>
              <w:rPr>
                <w:rFonts w:hint="eastAsia" w:ascii="宋体" w:hAnsi="宋体" w:cs="宋体"/>
                <w:szCs w:val="21"/>
              </w:rPr>
              <w:t>“</w:t>
            </w:r>
            <w:r>
              <w:rPr>
                <w:szCs w:val="21"/>
              </w:rPr>
              <w:t>投标人须知</w:t>
            </w:r>
            <w:r>
              <w:rPr>
                <w:rFonts w:hint="eastAsia" w:ascii="宋体" w:hAnsi="宋体" w:cs="宋体"/>
                <w:szCs w:val="21"/>
              </w:rPr>
              <w:t>”</w:t>
            </w:r>
            <w:r>
              <w:rPr>
                <w:szCs w:val="21"/>
              </w:rPr>
              <w:t>第1.11款规定，且按招标文件第九章</w:t>
            </w:r>
            <w:r>
              <w:rPr>
                <w:rFonts w:hint="eastAsia" w:ascii="宋体" w:hAnsi="宋体" w:cs="宋体"/>
                <w:szCs w:val="21"/>
              </w:rPr>
              <w:t>“</w:t>
            </w:r>
            <w:r>
              <w:rPr>
                <w:szCs w:val="21"/>
              </w:rPr>
              <w:t>投标文件格式</w:t>
            </w:r>
            <w:r>
              <w:rPr>
                <w:rFonts w:hint="eastAsia" w:ascii="宋体" w:hAnsi="宋体" w:cs="宋体"/>
                <w:szCs w:val="21"/>
              </w:rPr>
              <w:t>”</w:t>
            </w:r>
            <w:r>
              <w:rPr>
                <w:szCs w:val="21"/>
              </w:rPr>
              <w:t>的要求填写了</w:t>
            </w:r>
            <w:r>
              <w:rPr>
                <w:rFonts w:hint="eastAsia" w:ascii="宋体" w:hAnsi="宋体" w:cs="宋体"/>
                <w:szCs w:val="21"/>
              </w:rPr>
              <w:t>“</w:t>
            </w:r>
            <w:r>
              <w:rPr>
                <w:szCs w:val="21"/>
              </w:rPr>
              <w:t>拟分包项目情况表</w:t>
            </w:r>
            <w:r>
              <w:rPr>
                <w:rFonts w:hint="eastAsia" w:ascii="宋体" w:hAnsi="宋体" w:cs="宋体"/>
                <w:szCs w:val="21"/>
              </w:rPr>
              <w:t>”</w:t>
            </w:r>
            <w:r>
              <w:rPr>
                <w:szCs w:val="21"/>
              </w:rPr>
              <w:t>。</w:t>
            </w:r>
          </w:p>
          <w:p>
            <w:pPr>
              <w:wordWrap w:val="0"/>
              <w:spacing w:line="360" w:lineRule="atLeast"/>
              <w:ind w:firstLine="420" w:firstLineChars="200"/>
              <w:rPr>
                <w:szCs w:val="21"/>
              </w:rPr>
            </w:pPr>
            <w:r>
              <w:rPr>
                <w:szCs w:val="21"/>
              </w:rPr>
              <w:t>（</w:t>
            </w:r>
            <w:r>
              <w:rPr>
                <w:rFonts w:hint="eastAsia"/>
                <w:szCs w:val="21"/>
              </w:rPr>
              <w:t>8</w:t>
            </w:r>
            <w:r>
              <w:rPr>
                <w:szCs w:val="21"/>
              </w:rPr>
              <w:t>）同一投标人未提交两个以上不同的投标文件，但招标文件要求提交备选投标的除外。</w:t>
            </w:r>
          </w:p>
          <w:p>
            <w:pPr>
              <w:wordWrap w:val="0"/>
              <w:spacing w:line="360" w:lineRule="atLeast"/>
              <w:ind w:firstLine="420" w:firstLineChars="200"/>
              <w:rPr>
                <w:szCs w:val="21"/>
              </w:rPr>
            </w:pPr>
            <w:r>
              <w:rPr>
                <w:szCs w:val="21"/>
              </w:rPr>
              <w:t>（</w:t>
            </w:r>
            <w:r>
              <w:rPr>
                <w:rFonts w:hint="eastAsia"/>
                <w:szCs w:val="21"/>
              </w:rPr>
              <w:t>9</w:t>
            </w:r>
            <w:r>
              <w:rPr>
                <w:szCs w:val="21"/>
              </w:rPr>
              <w:t>）投标文件中未出现有关投标报价的内容。</w:t>
            </w:r>
          </w:p>
          <w:p>
            <w:pPr>
              <w:wordWrap w:val="0"/>
              <w:spacing w:line="360" w:lineRule="atLeast"/>
              <w:ind w:firstLine="420" w:firstLineChars="200"/>
              <w:rPr>
                <w:szCs w:val="21"/>
              </w:rPr>
            </w:pPr>
            <w:r>
              <w:rPr>
                <w:szCs w:val="21"/>
              </w:rPr>
              <w:t>（1</w:t>
            </w:r>
            <w:r>
              <w:rPr>
                <w:rFonts w:hint="eastAsia"/>
                <w:szCs w:val="21"/>
              </w:rPr>
              <w:t>0</w:t>
            </w:r>
            <w:r>
              <w:rPr>
                <w:szCs w:val="21"/>
              </w:rPr>
              <w:t>）投标文件载明的招标项目完成期限未超过招标文件规定的时限。</w:t>
            </w:r>
          </w:p>
          <w:p>
            <w:pPr>
              <w:wordWrap w:val="0"/>
              <w:spacing w:line="360" w:lineRule="atLeast"/>
              <w:ind w:firstLine="420" w:firstLineChars="200"/>
              <w:rPr>
                <w:szCs w:val="21"/>
              </w:rPr>
            </w:pPr>
            <w:r>
              <w:rPr>
                <w:szCs w:val="21"/>
              </w:rPr>
              <w:t>（1</w:t>
            </w:r>
            <w:r>
              <w:rPr>
                <w:rFonts w:hint="eastAsia"/>
                <w:szCs w:val="21"/>
              </w:rPr>
              <w:t>1</w:t>
            </w:r>
            <w:r>
              <w:rPr>
                <w:szCs w:val="21"/>
              </w:rPr>
              <w:t>）投标文件对招标文件的实质性要求和条件作出响应。</w:t>
            </w:r>
          </w:p>
          <w:p>
            <w:pPr>
              <w:wordWrap w:val="0"/>
              <w:spacing w:line="360" w:lineRule="atLeast"/>
              <w:ind w:firstLine="420" w:firstLineChars="200"/>
              <w:rPr>
                <w:szCs w:val="21"/>
              </w:rPr>
            </w:pPr>
            <w:r>
              <w:rPr>
                <w:szCs w:val="21"/>
              </w:rPr>
              <w:t>（1</w:t>
            </w:r>
            <w:r>
              <w:rPr>
                <w:rFonts w:hint="eastAsia"/>
                <w:szCs w:val="21"/>
              </w:rPr>
              <w:t>2</w:t>
            </w:r>
            <w:r>
              <w:rPr>
                <w:szCs w:val="21"/>
              </w:rPr>
              <w:t>）权利义务符合招标文件规定：</w:t>
            </w:r>
          </w:p>
          <w:p>
            <w:pPr>
              <w:wordWrap w:val="0"/>
              <w:spacing w:line="360" w:lineRule="atLeast"/>
              <w:ind w:firstLine="420" w:firstLineChars="200"/>
              <w:rPr>
                <w:szCs w:val="21"/>
              </w:rPr>
            </w:pPr>
            <w:r>
              <w:rPr>
                <w:szCs w:val="21"/>
              </w:rPr>
              <w:t>a.投标人应接受招标文件规定的风险划分原则，未提出新的风险划分办法；</w:t>
            </w:r>
          </w:p>
          <w:p>
            <w:pPr>
              <w:wordWrap w:val="0"/>
              <w:spacing w:line="360" w:lineRule="atLeast"/>
              <w:ind w:firstLine="420" w:firstLineChars="200"/>
              <w:rPr>
                <w:szCs w:val="21"/>
              </w:rPr>
            </w:pPr>
            <w:r>
              <w:rPr>
                <w:szCs w:val="21"/>
              </w:rPr>
              <w:t>b.投标人未增加发包人的责任范围，或减少投标人义务；</w:t>
            </w:r>
          </w:p>
          <w:p>
            <w:pPr>
              <w:wordWrap w:val="0"/>
              <w:spacing w:line="360" w:lineRule="atLeast"/>
              <w:ind w:firstLine="420" w:firstLineChars="200"/>
              <w:rPr>
                <w:szCs w:val="21"/>
              </w:rPr>
            </w:pPr>
            <w:r>
              <w:rPr>
                <w:szCs w:val="21"/>
              </w:rPr>
              <w:t>c.投标人未提出不同的工程验收、计量、支付办法；</w:t>
            </w:r>
          </w:p>
          <w:p>
            <w:pPr>
              <w:wordWrap w:val="0"/>
              <w:spacing w:line="360" w:lineRule="atLeast"/>
              <w:ind w:firstLine="420" w:firstLineChars="200"/>
              <w:rPr>
                <w:szCs w:val="21"/>
              </w:rPr>
            </w:pPr>
            <w:r>
              <w:rPr>
                <w:szCs w:val="21"/>
              </w:rPr>
              <w:t>d.投标人对合同纠纷、事故处理办法未提出异议；</w:t>
            </w:r>
          </w:p>
          <w:p>
            <w:pPr>
              <w:wordWrap w:val="0"/>
              <w:spacing w:line="360" w:lineRule="atLeast"/>
              <w:ind w:firstLine="420" w:firstLineChars="200"/>
              <w:rPr>
                <w:szCs w:val="21"/>
              </w:rPr>
            </w:pPr>
            <w:r>
              <w:rPr>
                <w:szCs w:val="21"/>
              </w:rPr>
              <w:t>e.投标人在投标活动中无欺诈行为；</w:t>
            </w:r>
          </w:p>
          <w:p>
            <w:pPr>
              <w:wordWrap w:val="0"/>
              <w:spacing w:line="360" w:lineRule="atLeast"/>
              <w:ind w:firstLine="420" w:firstLineChars="200"/>
              <w:rPr>
                <w:szCs w:val="21"/>
              </w:rPr>
            </w:pPr>
            <w:r>
              <w:rPr>
                <w:szCs w:val="21"/>
              </w:rPr>
              <w:t>f.投标人未对合同条款有重要保留。</w:t>
            </w:r>
          </w:p>
          <w:p>
            <w:pPr>
              <w:wordWrap w:val="0"/>
              <w:spacing w:line="360" w:lineRule="atLeast"/>
              <w:ind w:firstLine="420" w:firstLineChars="200"/>
              <w:rPr>
                <w:szCs w:val="21"/>
              </w:rPr>
            </w:pPr>
            <w:r>
              <w:rPr>
                <w:szCs w:val="21"/>
              </w:rPr>
              <w:t>（1</w:t>
            </w:r>
            <w:r>
              <w:rPr>
                <w:rFonts w:hint="eastAsia"/>
                <w:szCs w:val="21"/>
              </w:rPr>
              <w:t>3</w:t>
            </w:r>
            <w:r>
              <w:rPr>
                <w:szCs w:val="21"/>
              </w:rPr>
              <w:t>）</w:t>
            </w:r>
            <w:r>
              <w:rPr>
                <w:rFonts w:hint="eastAsia" w:ascii="宋体" w:hAnsi="宋体" w:cs="宋体"/>
                <w:szCs w:val="21"/>
              </w:rPr>
              <w:t>“</w:t>
            </w:r>
            <w:r>
              <w:rPr>
                <w:szCs w:val="21"/>
              </w:rPr>
              <w:t>施工组织设计</w:t>
            </w:r>
            <w:r>
              <w:rPr>
                <w:rFonts w:hint="eastAsia" w:ascii="宋体" w:hAnsi="宋体" w:cs="宋体"/>
                <w:szCs w:val="21"/>
              </w:rPr>
              <w:t>”</w:t>
            </w:r>
            <w:r>
              <w:rPr>
                <w:szCs w:val="21"/>
              </w:rPr>
              <w:t>采用暗标形式，其编制须满足招标文件要求。</w:t>
            </w:r>
          </w:p>
          <w:p>
            <w:pPr>
              <w:wordWrap w:val="0"/>
              <w:spacing w:line="360" w:lineRule="atLeast"/>
              <w:ind w:firstLine="420" w:firstLineChars="200"/>
              <w:rPr>
                <w:szCs w:val="21"/>
              </w:rPr>
            </w:pPr>
            <w:r>
              <w:rPr>
                <w:szCs w:val="21"/>
              </w:rPr>
              <w:t>（14）未发现投标人与其他投标人存在使用同一不可篡改的唯一标识软硬件设备投标的（如：MAC地址、标书制作特征码、标书唯一特征码等）。</w:t>
            </w:r>
          </w:p>
          <w:p>
            <w:pPr>
              <w:wordWrap w:val="0"/>
              <w:spacing w:line="360" w:lineRule="atLeast"/>
              <w:ind w:firstLine="420" w:firstLineChars="200"/>
              <w:rPr>
                <w:szCs w:val="21"/>
              </w:rPr>
            </w:pPr>
            <w:r>
              <w:rPr>
                <w:rFonts w:hint="eastAsia"/>
                <w:szCs w:val="21"/>
              </w:rPr>
              <w:t>（15）按招标文件规定提供有效的投标人告知承诺函、不拖欠农民工工资承诺书。</w:t>
            </w:r>
          </w:p>
          <w:p>
            <w:pPr>
              <w:wordWrap w:val="0"/>
              <w:spacing w:line="360" w:lineRule="atLeast"/>
              <w:ind w:firstLine="422" w:firstLineChars="200"/>
              <w:rPr>
                <w:b/>
                <w:szCs w:val="21"/>
              </w:rPr>
            </w:pPr>
            <w:r>
              <w:rPr>
                <w:b/>
                <w:szCs w:val="21"/>
              </w:rPr>
              <w:t>第二个信封（报价文件）评审标准：</w:t>
            </w:r>
          </w:p>
          <w:p>
            <w:pPr>
              <w:wordWrap w:val="0"/>
              <w:spacing w:line="360" w:lineRule="atLeast"/>
              <w:ind w:firstLine="420" w:firstLineChars="200"/>
              <w:rPr>
                <w:szCs w:val="21"/>
              </w:rPr>
            </w:pPr>
            <w:r>
              <w:rPr>
                <w:szCs w:val="21"/>
              </w:rPr>
              <w:t>（1）投标文件按照招标文件规定的格式、内容填写，字迹清晰可辨：</w:t>
            </w:r>
          </w:p>
          <w:p>
            <w:pPr>
              <w:wordWrap w:val="0"/>
              <w:spacing w:line="360" w:lineRule="atLeast"/>
              <w:ind w:firstLine="420" w:firstLineChars="200"/>
              <w:rPr>
                <w:szCs w:val="21"/>
              </w:rPr>
            </w:pPr>
            <w:r>
              <w:rPr>
                <w:szCs w:val="21"/>
              </w:rPr>
              <w:t>a.投标函按招标文件规定填报了项目名称、标段号、补遗书编号（如有）、投标价（包括大写金额和小写金额）；</w:t>
            </w:r>
          </w:p>
          <w:p>
            <w:pPr>
              <w:wordWrap w:val="0"/>
              <w:spacing w:line="360" w:lineRule="atLeast"/>
              <w:ind w:firstLine="420" w:firstLineChars="200"/>
              <w:rPr>
                <w:szCs w:val="21"/>
              </w:rPr>
            </w:pPr>
            <w:r>
              <w:rPr>
                <w:szCs w:val="21"/>
              </w:rPr>
              <w:t>b.已标价工程量清单说明文字与招标文件规定一致，未进行实质性修改和删减；</w:t>
            </w:r>
          </w:p>
          <w:p>
            <w:pPr>
              <w:wordWrap w:val="0"/>
              <w:spacing w:line="360" w:lineRule="atLeast"/>
              <w:ind w:firstLine="420" w:firstLineChars="200"/>
              <w:rPr>
                <w:szCs w:val="21"/>
              </w:rPr>
            </w:pPr>
            <w:r>
              <w:rPr>
                <w:szCs w:val="21"/>
              </w:rPr>
              <w:t>c.投标文件组成齐全完整，内容均按规定填写。</w:t>
            </w:r>
          </w:p>
          <w:p>
            <w:pPr>
              <w:wordWrap w:val="0"/>
              <w:spacing w:line="360" w:lineRule="atLeast"/>
              <w:ind w:firstLine="420" w:firstLineChars="200"/>
              <w:rPr>
                <w:szCs w:val="21"/>
              </w:rPr>
            </w:pPr>
            <w:r>
              <w:rPr>
                <w:szCs w:val="21"/>
              </w:rPr>
              <w:t>（2）投标文件上法定代表人或其委托代理人的签字、投标人的单位章盖章齐全，符合招标文件规定。</w:t>
            </w:r>
          </w:p>
          <w:p>
            <w:pPr>
              <w:wordWrap w:val="0"/>
              <w:spacing w:line="360" w:lineRule="atLeast"/>
              <w:ind w:firstLine="420" w:firstLineChars="200"/>
              <w:rPr>
                <w:szCs w:val="21"/>
              </w:rPr>
            </w:pPr>
            <w:r>
              <w:rPr>
                <w:szCs w:val="21"/>
              </w:rPr>
              <w:t>（3）投标报价或调价函中的报价未超过招标文件设定的最高投标限价（如有）。</w:t>
            </w:r>
          </w:p>
          <w:p>
            <w:pPr>
              <w:wordWrap w:val="0"/>
              <w:spacing w:line="360" w:lineRule="atLeast"/>
              <w:ind w:firstLine="420" w:firstLineChars="200"/>
              <w:rPr>
                <w:szCs w:val="21"/>
              </w:rPr>
            </w:pPr>
            <w:r>
              <w:rPr>
                <w:szCs w:val="21"/>
              </w:rPr>
              <w:t>（4）投标报价或调价函中报价的大写金额能够确定具体数值。</w:t>
            </w:r>
          </w:p>
          <w:p>
            <w:pPr>
              <w:wordWrap w:val="0"/>
              <w:spacing w:line="360" w:lineRule="atLeast"/>
              <w:ind w:firstLine="420" w:firstLineChars="200"/>
              <w:rPr>
                <w:szCs w:val="21"/>
              </w:rPr>
            </w:pPr>
            <w:r>
              <w:rPr>
                <w:szCs w:val="21"/>
              </w:rPr>
              <w:t>（5）同一投标人未提交两个以上不同的投标报价，但招标文件要求提交备选投标的除外。</w:t>
            </w:r>
          </w:p>
          <w:p>
            <w:pPr>
              <w:wordWrap w:val="0"/>
              <w:spacing w:line="360" w:lineRule="atLeast"/>
              <w:ind w:firstLine="420" w:firstLineChars="200"/>
              <w:rPr>
                <w:szCs w:val="21"/>
              </w:rPr>
            </w:pPr>
            <w:r>
              <w:rPr>
                <w:szCs w:val="21"/>
              </w:rPr>
              <w:t>（6）投标人若提交调价函，调价函符合招标文件第二章</w:t>
            </w:r>
            <w:r>
              <w:rPr>
                <w:rFonts w:hint="eastAsia" w:ascii="宋体" w:hAnsi="宋体" w:cs="宋体"/>
                <w:szCs w:val="21"/>
              </w:rPr>
              <w:t>“</w:t>
            </w:r>
            <w:r>
              <w:rPr>
                <w:szCs w:val="21"/>
              </w:rPr>
              <w:t>投标人须知</w:t>
            </w:r>
            <w:r>
              <w:rPr>
                <w:rFonts w:hint="eastAsia" w:ascii="宋体" w:hAnsi="宋体" w:cs="宋体"/>
                <w:szCs w:val="21"/>
              </w:rPr>
              <w:t>”</w:t>
            </w:r>
            <w:r>
              <w:rPr>
                <w:szCs w:val="21"/>
              </w:rPr>
              <w:t>第3.2.6项要求。</w:t>
            </w:r>
          </w:p>
          <w:p>
            <w:pPr>
              <w:wordWrap w:val="0"/>
              <w:spacing w:line="360" w:lineRule="atLeast"/>
              <w:ind w:firstLine="420" w:firstLineChars="200"/>
              <w:rPr>
                <w:szCs w:val="21"/>
              </w:rPr>
            </w:pPr>
            <w:r>
              <w:rPr>
                <w:szCs w:val="21"/>
              </w:rPr>
              <w:t>（</w:t>
            </w:r>
            <w:r>
              <w:rPr>
                <w:rFonts w:hint="eastAsia"/>
                <w:szCs w:val="21"/>
              </w:rPr>
              <w:t>7</w:t>
            </w:r>
            <w:r>
              <w:rPr>
                <w:szCs w:val="21"/>
              </w:rPr>
              <w:t>）未发现投标人与其他投标人存在使用同一不可篡改的唯一标识软硬件设备投标的（如：MAC地址、标书制作特征码、标书唯一特征码等）。</w:t>
            </w:r>
          </w:p>
          <w:p>
            <w:pPr>
              <w:wordWrap w:val="0"/>
              <w:spacing w:line="360" w:lineRule="atLeast"/>
              <w:ind w:firstLine="420" w:firstLineChars="200"/>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555" w:type="pct"/>
            <w:tcBorders>
              <w:top w:val="single" w:color="auto" w:sz="4" w:space="0"/>
              <w:right w:val="single" w:color="auto" w:sz="4" w:space="0"/>
            </w:tcBorders>
            <w:vAlign w:val="center"/>
          </w:tcPr>
          <w:p>
            <w:pPr>
              <w:wordWrap w:val="0"/>
              <w:spacing w:line="380" w:lineRule="atLeast"/>
              <w:jc w:val="center"/>
              <w:rPr>
                <w:szCs w:val="21"/>
              </w:rPr>
            </w:pPr>
            <w:r>
              <w:rPr>
                <w:szCs w:val="21"/>
              </w:rPr>
              <w:t>2.1.2</w:t>
            </w:r>
          </w:p>
        </w:tc>
        <w:tc>
          <w:tcPr>
            <w:tcW w:w="719" w:type="pct"/>
            <w:tcBorders>
              <w:top w:val="single" w:color="auto" w:sz="4" w:space="0"/>
              <w:right w:val="single" w:color="auto" w:sz="4" w:space="0"/>
            </w:tcBorders>
            <w:vAlign w:val="center"/>
          </w:tcPr>
          <w:p>
            <w:pPr>
              <w:wordWrap w:val="0"/>
              <w:spacing w:line="380" w:lineRule="atLeast"/>
              <w:jc w:val="center"/>
              <w:rPr>
                <w:szCs w:val="21"/>
              </w:rPr>
            </w:pPr>
            <w:r>
              <w:rPr>
                <w:szCs w:val="21"/>
              </w:rPr>
              <w:t>资格评审</w:t>
            </w:r>
          </w:p>
          <w:p>
            <w:pPr>
              <w:wordWrap w:val="0"/>
              <w:spacing w:line="380" w:lineRule="atLeast"/>
              <w:jc w:val="center"/>
              <w:rPr>
                <w:szCs w:val="21"/>
              </w:rPr>
            </w:pPr>
            <w:r>
              <w:rPr>
                <w:szCs w:val="21"/>
              </w:rPr>
              <w:t>标准</w:t>
            </w:r>
          </w:p>
        </w:tc>
        <w:tc>
          <w:tcPr>
            <w:tcW w:w="3725" w:type="pct"/>
            <w:tcBorders>
              <w:top w:val="single" w:color="auto" w:sz="4" w:space="0"/>
              <w:left w:val="single" w:color="auto" w:sz="4" w:space="0"/>
              <w:right w:val="single" w:color="auto" w:sz="4" w:space="0"/>
            </w:tcBorders>
            <w:vAlign w:val="center"/>
          </w:tcPr>
          <w:p>
            <w:pPr>
              <w:wordWrap w:val="0"/>
              <w:spacing w:line="360" w:lineRule="atLeast"/>
              <w:ind w:firstLine="420" w:firstLineChars="200"/>
              <w:rPr>
                <w:szCs w:val="21"/>
              </w:rPr>
            </w:pPr>
            <w:r>
              <w:rPr>
                <w:szCs w:val="21"/>
              </w:rPr>
              <w:t>（1）投标人的资质等级符合招标文件规定。</w:t>
            </w:r>
          </w:p>
          <w:p>
            <w:pPr>
              <w:wordWrap w:val="0"/>
              <w:spacing w:line="360" w:lineRule="atLeast"/>
              <w:ind w:firstLine="420" w:firstLineChars="200"/>
              <w:rPr>
                <w:szCs w:val="21"/>
              </w:rPr>
            </w:pPr>
            <w:r>
              <w:rPr>
                <w:szCs w:val="21"/>
              </w:rPr>
              <w:t>（</w:t>
            </w:r>
            <w:r>
              <w:rPr>
                <w:rFonts w:hint="eastAsia"/>
                <w:szCs w:val="21"/>
              </w:rPr>
              <w:t>2</w:t>
            </w:r>
            <w:r>
              <w:rPr>
                <w:szCs w:val="21"/>
              </w:rPr>
              <w:t>）投标人的类似项目业绩符合招标文件规定。</w:t>
            </w:r>
          </w:p>
          <w:p>
            <w:pPr>
              <w:wordWrap w:val="0"/>
              <w:spacing w:line="360" w:lineRule="atLeast"/>
              <w:ind w:firstLine="420" w:firstLineChars="200"/>
              <w:rPr>
                <w:szCs w:val="21"/>
              </w:rPr>
            </w:pPr>
            <w:r>
              <w:rPr>
                <w:szCs w:val="21"/>
              </w:rPr>
              <w:t>（</w:t>
            </w:r>
            <w:r>
              <w:rPr>
                <w:rFonts w:hint="eastAsia"/>
                <w:szCs w:val="21"/>
              </w:rPr>
              <w:t>3</w:t>
            </w:r>
            <w:r>
              <w:rPr>
                <w:szCs w:val="21"/>
              </w:rPr>
              <w:t>）投标人的信誉符合招标文件规定。</w:t>
            </w:r>
          </w:p>
          <w:p>
            <w:pPr>
              <w:wordWrap w:val="0"/>
              <w:spacing w:line="360" w:lineRule="atLeast"/>
              <w:ind w:firstLine="420" w:firstLineChars="200"/>
              <w:rPr>
                <w:szCs w:val="21"/>
              </w:rPr>
            </w:pPr>
            <w:r>
              <w:rPr>
                <w:szCs w:val="21"/>
              </w:rPr>
              <w:t>（</w:t>
            </w:r>
            <w:r>
              <w:rPr>
                <w:rFonts w:hint="eastAsia"/>
                <w:szCs w:val="21"/>
              </w:rPr>
              <w:t>4</w:t>
            </w:r>
            <w:r>
              <w:rPr>
                <w:szCs w:val="21"/>
              </w:rPr>
              <w:t>）投标人的项目经理和项目总工资格、在岗情况符合招标文件规定。</w:t>
            </w:r>
          </w:p>
          <w:p>
            <w:pPr>
              <w:wordWrap w:val="0"/>
              <w:spacing w:line="360" w:lineRule="atLeast"/>
              <w:ind w:firstLine="420" w:firstLineChars="200"/>
              <w:rPr>
                <w:szCs w:val="21"/>
              </w:rPr>
            </w:pPr>
            <w:r>
              <w:rPr>
                <w:szCs w:val="21"/>
              </w:rPr>
              <w:t>（</w:t>
            </w:r>
            <w:r>
              <w:rPr>
                <w:rFonts w:hint="eastAsia"/>
                <w:szCs w:val="21"/>
              </w:rPr>
              <w:t>5</w:t>
            </w:r>
            <w:r>
              <w:rPr>
                <w:szCs w:val="21"/>
              </w:rPr>
              <w:t>）投标人的其他要求符合招标文件规定。</w:t>
            </w:r>
          </w:p>
          <w:p>
            <w:pPr>
              <w:wordWrap w:val="0"/>
              <w:spacing w:line="360" w:lineRule="atLeast"/>
              <w:ind w:firstLine="420" w:firstLineChars="200"/>
              <w:rPr>
                <w:szCs w:val="21"/>
              </w:rPr>
            </w:pPr>
            <w:r>
              <w:rPr>
                <w:szCs w:val="21"/>
              </w:rPr>
              <w:t>（</w:t>
            </w:r>
            <w:r>
              <w:rPr>
                <w:rFonts w:hint="eastAsia"/>
                <w:szCs w:val="21"/>
              </w:rPr>
              <w:t>6</w:t>
            </w:r>
            <w:r>
              <w:rPr>
                <w:szCs w:val="21"/>
              </w:rPr>
              <w:t>）投标人不存在第二章</w:t>
            </w:r>
            <w:r>
              <w:rPr>
                <w:rFonts w:hint="eastAsia" w:ascii="宋体" w:hAnsi="宋体" w:cs="宋体"/>
                <w:szCs w:val="21"/>
              </w:rPr>
              <w:t>“</w:t>
            </w:r>
            <w:r>
              <w:rPr>
                <w:szCs w:val="21"/>
              </w:rPr>
              <w:t>投标人须知</w:t>
            </w:r>
            <w:r>
              <w:rPr>
                <w:rFonts w:hint="eastAsia" w:ascii="宋体" w:hAnsi="宋体" w:cs="宋体"/>
                <w:szCs w:val="21"/>
              </w:rPr>
              <w:t>”</w:t>
            </w:r>
            <w:r>
              <w:rPr>
                <w:szCs w:val="21"/>
              </w:rPr>
              <w:t>第1.4.3项或第1.4.4项规定的任何一种情形。</w:t>
            </w:r>
          </w:p>
          <w:p>
            <w:pPr>
              <w:wordWrap w:val="0"/>
              <w:spacing w:line="360" w:lineRule="atLeast"/>
              <w:ind w:firstLine="420" w:firstLineChars="200"/>
              <w:rPr>
                <w:szCs w:val="21"/>
              </w:rPr>
            </w:pPr>
            <w:r>
              <w:rPr>
                <w:szCs w:val="21"/>
              </w:rPr>
              <w:t>（</w:t>
            </w:r>
            <w:r>
              <w:rPr>
                <w:rFonts w:hint="eastAsia"/>
                <w:szCs w:val="21"/>
              </w:rPr>
              <w:t>7</w:t>
            </w:r>
            <w:r>
              <w:rPr>
                <w:szCs w:val="21"/>
              </w:rPr>
              <w:t>）以联合体形式参与投标的，联合体各方均未再以自己名义单独或参加其他联合体在同一标段中投标；独立参与投标的，投标人未同时参加联合体在同一标段中投标。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5" w:type="pct"/>
            <w:tcBorders>
              <w:top w:val="single" w:color="auto" w:sz="4" w:space="0"/>
              <w:right w:val="single" w:color="auto" w:sz="4" w:space="0"/>
            </w:tcBorders>
            <w:vAlign w:val="center"/>
          </w:tcPr>
          <w:p>
            <w:pPr>
              <w:wordWrap w:val="0"/>
              <w:spacing w:line="380" w:lineRule="atLeast"/>
              <w:jc w:val="center"/>
              <w:rPr>
                <w:b/>
                <w:szCs w:val="21"/>
              </w:rPr>
            </w:pPr>
            <w:r>
              <w:rPr>
                <w:b/>
                <w:szCs w:val="21"/>
              </w:rPr>
              <w:t>条款号</w:t>
            </w:r>
          </w:p>
        </w:tc>
        <w:tc>
          <w:tcPr>
            <w:tcW w:w="719" w:type="pct"/>
            <w:tcBorders>
              <w:top w:val="single" w:color="auto" w:sz="4" w:space="0"/>
              <w:right w:val="single" w:color="auto" w:sz="4" w:space="0"/>
            </w:tcBorders>
            <w:vAlign w:val="center"/>
          </w:tcPr>
          <w:p>
            <w:pPr>
              <w:wordWrap w:val="0"/>
              <w:spacing w:line="380" w:lineRule="atLeast"/>
              <w:jc w:val="center"/>
              <w:rPr>
                <w:b/>
                <w:szCs w:val="21"/>
              </w:rPr>
            </w:pPr>
            <w:r>
              <w:rPr>
                <w:b/>
                <w:szCs w:val="21"/>
              </w:rPr>
              <w:t>条款内容</w:t>
            </w:r>
          </w:p>
        </w:tc>
        <w:tc>
          <w:tcPr>
            <w:tcW w:w="3725" w:type="pct"/>
            <w:tcBorders>
              <w:top w:val="single" w:color="auto" w:sz="4" w:space="0"/>
              <w:left w:val="single" w:color="auto" w:sz="4" w:space="0"/>
              <w:right w:val="single" w:color="auto" w:sz="4" w:space="0"/>
            </w:tcBorders>
            <w:vAlign w:val="center"/>
          </w:tcPr>
          <w:p>
            <w:pPr>
              <w:wordWrap w:val="0"/>
              <w:spacing w:line="380" w:lineRule="atLeas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5" w:type="pct"/>
            <w:tcBorders>
              <w:top w:val="single" w:color="auto" w:sz="4" w:space="0"/>
              <w:right w:val="single" w:color="auto" w:sz="4" w:space="0"/>
            </w:tcBorders>
            <w:vAlign w:val="center"/>
          </w:tcPr>
          <w:p>
            <w:pPr>
              <w:wordWrap w:val="0"/>
              <w:spacing w:line="380" w:lineRule="atLeast"/>
              <w:jc w:val="center"/>
              <w:rPr>
                <w:szCs w:val="21"/>
              </w:rPr>
            </w:pPr>
            <w:r>
              <w:rPr>
                <w:szCs w:val="21"/>
              </w:rPr>
              <w:t>2.2.1</w:t>
            </w:r>
          </w:p>
        </w:tc>
        <w:tc>
          <w:tcPr>
            <w:tcW w:w="719" w:type="pct"/>
            <w:tcBorders>
              <w:top w:val="single" w:color="auto" w:sz="4" w:space="0"/>
              <w:right w:val="single" w:color="auto" w:sz="4" w:space="0"/>
            </w:tcBorders>
            <w:vAlign w:val="center"/>
          </w:tcPr>
          <w:p>
            <w:pPr>
              <w:wordWrap w:val="0"/>
              <w:spacing w:line="380" w:lineRule="atLeast"/>
              <w:jc w:val="center"/>
              <w:rPr>
                <w:szCs w:val="21"/>
              </w:rPr>
            </w:pPr>
            <w:r>
              <w:rPr>
                <w:szCs w:val="21"/>
              </w:rPr>
              <w:t>第一个信封评分分值构成</w:t>
            </w:r>
          </w:p>
          <w:p>
            <w:pPr>
              <w:wordWrap w:val="0"/>
              <w:spacing w:line="380" w:lineRule="atLeast"/>
              <w:ind w:left="-105" w:leftChars="-50" w:right="-105" w:rightChars="-50"/>
              <w:jc w:val="center"/>
              <w:rPr>
                <w:szCs w:val="21"/>
              </w:rPr>
            </w:pPr>
            <w:r>
              <w:rPr>
                <w:szCs w:val="21"/>
              </w:rPr>
              <w:t>（总分100分）</w:t>
            </w:r>
          </w:p>
        </w:tc>
        <w:tc>
          <w:tcPr>
            <w:tcW w:w="3725" w:type="pct"/>
            <w:tcBorders>
              <w:top w:val="single" w:color="auto" w:sz="4" w:space="0"/>
              <w:left w:val="single" w:color="auto" w:sz="4" w:space="0"/>
              <w:right w:val="single" w:color="auto" w:sz="4" w:space="0"/>
            </w:tcBorders>
            <w:vAlign w:val="center"/>
          </w:tcPr>
          <w:p>
            <w:pPr>
              <w:wordWrap w:val="0"/>
              <w:spacing w:line="360" w:lineRule="atLeast"/>
              <w:ind w:firstLine="420" w:firstLineChars="200"/>
              <w:rPr>
                <w:szCs w:val="21"/>
              </w:rPr>
            </w:pPr>
            <w:r>
              <w:rPr>
                <w:szCs w:val="21"/>
              </w:rPr>
              <w:t>施工组织设计：</w:t>
            </w:r>
            <w:r>
              <w:rPr>
                <w:szCs w:val="21"/>
                <w:u w:val="single"/>
              </w:rPr>
              <w:t xml:space="preserve">   </w:t>
            </w:r>
            <w:r>
              <w:rPr>
                <w:rFonts w:hint="eastAsia"/>
                <w:szCs w:val="21"/>
                <w:u w:val="single"/>
              </w:rPr>
              <w:t>40</w:t>
            </w:r>
            <w:r>
              <w:rPr>
                <w:szCs w:val="21"/>
                <w:u w:val="single"/>
              </w:rPr>
              <w:t xml:space="preserve">   </w:t>
            </w:r>
            <w:r>
              <w:rPr>
                <w:szCs w:val="21"/>
              </w:rPr>
              <w:t>分</w:t>
            </w:r>
          </w:p>
          <w:p>
            <w:pPr>
              <w:wordWrap w:val="0"/>
              <w:spacing w:line="360" w:lineRule="atLeast"/>
              <w:ind w:firstLine="420" w:firstLineChars="200"/>
              <w:rPr>
                <w:szCs w:val="21"/>
              </w:rPr>
            </w:pPr>
            <w:r>
              <w:rPr>
                <w:szCs w:val="21"/>
              </w:rPr>
              <w:t>主要人员：</w:t>
            </w:r>
            <w:r>
              <w:rPr>
                <w:szCs w:val="21"/>
                <w:u w:val="single"/>
              </w:rPr>
              <w:t xml:space="preserve">  </w:t>
            </w:r>
            <w:r>
              <w:rPr>
                <w:rFonts w:hint="eastAsia"/>
                <w:szCs w:val="21"/>
                <w:u w:val="single"/>
              </w:rPr>
              <w:t>25</w:t>
            </w:r>
            <w:r>
              <w:rPr>
                <w:szCs w:val="21"/>
                <w:u w:val="single"/>
              </w:rPr>
              <w:t xml:space="preserve">    </w:t>
            </w:r>
            <w:r>
              <w:rPr>
                <w:szCs w:val="21"/>
              </w:rPr>
              <w:t>分</w:t>
            </w:r>
          </w:p>
          <w:p>
            <w:pPr>
              <w:wordWrap w:val="0"/>
              <w:spacing w:line="360" w:lineRule="atLeast"/>
              <w:ind w:firstLine="420" w:firstLineChars="200"/>
              <w:rPr>
                <w:szCs w:val="21"/>
              </w:rPr>
            </w:pPr>
            <w:r>
              <w:rPr>
                <w:szCs w:val="21"/>
              </w:rPr>
              <w:t>技术能力：</w:t>
            </w:r>
            <w:r>
              <w:rPr>
                <w:szCs w:val="21"/>
                <w:u w:val="single"/>
              </w:rPr>
              <w:t xml:space="preserve">   </w:t>
            </w:r>
            <w:r>
              <w:rPr>
                <w:rFonts w:hint="eastAsia"/>
                <w:szCs w:val="21"/>
                <w:u w:val="single"/>
              </w:rPr>
              <w:t>15</w:t>
            </w:r>
            <w:r>
              <w:rPr>
                <w:szCs w:val="21"/>
                <w:u w:val="single"/>
              </w:rPr>
              <w:t xml:space="preserve">   </w:t>
            </w:r>
            <w:r>
              <w:rPr>
                <w:szCs w:val="21"/>
              </w:rPr>
              <w:t>分</w:t>
            </w:r>
          </w:p>
          <w:p>
            <w:pPr>
              <w:wordWrap w:val="0"/>
              <w:spacing w:line="360" w:lineRule="atLeast"/>
              <w:ind w:firstLine="420" w:firstLineChars="200"/>
              <w:rPr>
                <w:szCs w:val="21"/>
              </w:rPr>
            </w:pPr>
            <w:r>
              <w:rPr>
                <w:szCs w:val="21"/>
              </w:rPr>
              <w:t>履约信誉：</w:t>
            </w:r>
            <w:r>
              <w:rPr>
                <w:szCs w:val="21"/>
                <w:u w:val="single"/>
              </w:rPr>
              <w:t xml:space="preserve">  </w:t>
            </w:r>
            <w:r>
              <w:rPr>
                <w:rFonts w:hint="eastAsia"/>
                <w:szCs w:val="21"/>
                <w:u w:val="single"/>
              </w:rPr>
              <w:t>20</w:t>
            </w:r>
            <w:r>
              <w:rPr>
                <w:szCs w:val="21"/>
                <w:u w:val="single"/>
              </w:rPr>
              <w:t xml:space="preserve">    </w:t>
            </w:r>
            <w:r>
              <w:rPr>
                <w:szCs w:val="21"/>
              </w:rPr>
              <w:t>分</w:t>
            </w:r>
          </w:p>
          <w:p>
            <w:pPr>
              <w:wordWrap w:val="0"/>
              <w:spacing w:line="360" w:lineRule="atLeast"/>
              <w:ind w:firstLine="420" w:firstLineChars="200"/>
              <w:rPr>
                <w:b/>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5" w:type="pct"/>
            <w:tcBorders>
              <w:top w:val="single" w:color="auto" w:sz="4" w:space="0"/>
              <w:right w:val="single" w:color="auto" w:sz="4" w:space="0"/>
            </w:tcBorders>
            <w:vAlign w:val="center"/>
          </w:tcPr>
          <w:p>
            <w:pPr>
              <w:wordWrap w:val="0"/>
              <w:spacing w:line="380" w:lineRule="atLeast"/>
              <w:jc w:val="center"/>
              <w:rPr>
                <w:szCs w:val="21"/>
              </w:rPr>
            </w:pPr>
            <w:r>
              <w:rPr>
                <w:szCs w:val="21"/>
              </w:rPr>
              <w:t>2.2.3</w:t>
            </w:r>
          </w:p>
        </w:tc>
        <w:tc>
          <w:tcPr>
            <w:tcW w:w="719" w:type="pct"/>
            <w:tcBorders>
              <w:top w:val="single" w:color="auto" w:sz="4" w:space="0"/>
              <w:right w:val="single" w:color="auto" w:sz="4" w:space="0"/>
            </w:tcBorders>
            <w:vAlign w:val="center"/>
          </w:tcPr>
          <w:p>
            <w:pPr>
              <w:wordWrap w:val="0"/>
              <w:spacing w:line="380" w:lineRule="atLeast"/>
              <w:jc w:val="center"/>
              <w:rPr>
                <w:szCs w:val="21"/>
              </w:rPr>
            </w:pPr>
            <w:r>
              <w:rPr>
                <w:szCs w:val="21"/>
              </w:rPr>
              <w:t>第二个信封详细评审标准</w:t>
            </w:r>
          </w:p>
        </w:tc>
        <w:tc>
          <w:tcPr>
            <w:tcW w:w="3725" w:type="pct"/>
            <w:tcBorders>
              <w:top w:val="single" w:color="auto" w:sz="4" w:space="0"/>
              <w:left w:val="single" w:color="auto" w:sz="4" w:space="0"/>
              <w:right w:val="single" w:color="auto" w:sz="4" w:space="0"/>
            </w:tcBorders>
            <w:vAlign w:val="center"/>
          </w:tcPr>
          <w:p>
            <w:pPr>
              <w:wordWrap w:val="0"/>
              <w:spacing w:line="360" w:lineRule="atLeast"/>
              <w:rPr>
                <w:szCs w:val="21"/>
              </w:rPr>
            </w:pPr>
            <w:r>
              <w:rPr>
                <w:szCs w:val="21"/>
              </w:rPr>
              <w:t>评标价计算公式：</w:t>
            </w:r>
          </w:p>
          <w:p>
            <w:pPr>
              <w:wordWrap w:val="0"/>
              <w:spacing w:line="360" w:lineRule="atLeast"/>
              <w:ind w:firstLine="420" w:firstLineChars="200"/>
              <w:rPr>
                <w:szCs w:val="21"/>
              </w:rPr>
            </w:pPr>
            <w:r>
              <w:rPr>
                <w:szCs w:val="21"/>
              </w:rPr>
              <w:t>评标价＝修正后的投标报价－暂估价－暂列金额（不含计日工总额）</w:t>
            </w:r>
          </w:p>
          <w:p>
            <w:pPr>
              <w:wordWrap w:val="0"/>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5" w:type="pct"/>
            <w:tcBorders>
              <w:top w:val="single" w:color="auto" w:sz="4" w:space="0"/>
              <w:right w:val="single" w:color="auto" w:sz="4" w:space="0"/>
            </w:tcBorders>
            <w:vAlign w:val="center"/>
          </w:tcPr>
          <w:p>
            <w:pPr>
              <w:wordWrap w:val="0"/>
              <w:spacing w:line="380" w:lineRule="atLeast"/>
              <w:jc w:val="center"/>
              <w:rPr>
                <w:szCs w:val="21"/>
              </w:rPr>
            </w:pPr>
            <w:r>
              <w:rPr>
                <w:szCs w:val="21"/>
              </w:rPr>
              <w:t>3.2.4</w:t>
            </w:r>
          </w:p>
        </w:tc>
        <w:tc>
          <w:tcPr>
            <w:tcW w:w="719" w:type="pct"/>
            <w:tcBorders>
              <w:top w:val="single" w:color="auto" w:sz="4" w:space="0"/>
              <w:right w:val="single" w:color="auto" w:sz="4" w:space="0"/>
            </w:tcBorders>
            <w:vAlign w:val="center"/>
          </w:tcPr>
          <w:p>
            <w:pPr>
              <w:wordWrap w:val="0"/>
              <w:spacing w:line="380" w:lineRule="atLeast"/>
              <w:jc w:val="center"/>
              <w:rPr>
                <w:szCs w:val="21"/>
              </w:rPr>
            </w:pPr>
            <w:r>
              <w:rPr>
                <w:szCs w:val="21"/>
              </w:rPr>
              <w:t>通过第一个信封详细评审的投标人数量</w:t>
            </w:r>
          </w:p>
        </w:tc>
        <w:tc>
          <w:tcPr>
            <w:tcW w:w="3725" w:type="pct"/>
            <w:tcBorders>
              <w:top w:val="single" w:color="auto" w:sz="4" w:space="0"/>
              <w:left w:val="single" w:color="auto" w:sz="4" w:space="0"/>
              <w:right w:val="single" w:color="auto" w:sz="4" w:space="0"/>
            </w:tcBorders>
            <w:vAlign w:val="center"/>
          </w:tcPr>
          <w:p>
            <w:pPr>
              <w:wordWrap w:val="0"/>
              <w:spacing w:line="360" w:lineRule="atLeast"/>
              <w:ind w:firstLine="420" w:firstLineChars="200"/>
              <w:rPr>
                <w:szCs w:val="21"/>
              </w:rPr>
            </w:pPr>
            <w:r>
              <w:rPr>
                <w:szCs w:val="21"/>
              </w:rPr>
              <w:t>按照招标人商务和技术评分由高到低排序，对排名在n以内的投标人的报价文件进行评审，n值按参与商务和技术评分投标人数量的30% (数值向下取整)确定，n值不得小于3，不得大于10</w:t>
            </w:r>
            <w:r>
              <w:rPr>
                <w:rFonts w:hint="eastAsia"/>
                <w:szCs w:val="21"/>
              </w:rPr>
              <w:t>。</w:t>
            </w:r>
          </w:p>
        </w:tc>
      </w:tr>
    </w:tbl>
    <w:p/>
    <w:tbl>
      <w:tblPr>
        <w:tblStyle w:val="4"/>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32"/>
        <w:gridCol w:w="641"/>
        <w:gridCol w:w="1611"/>
        <w:gridCol w:w="380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00" w:type="pct"/>
            <w:gridSpan w:val="6"/>
            <w:tcBorders>
              <w:top w:val="single" w:color="auto" w:sz="4" w:space="0"/>
            </w:tcBorders>
          </w:tcPr>
          <w:p>
            <w:pPr>
              <w:wordWrap w:val="0"/>
              <w:spacing w:line="380" w:lineRule="atLeast"/>
              <w:jc w:val="center"/>
              <w:rPr>
                <w:b/>
                <w:szCs w:val="21"/>
              </w:rPr>
            </w:pPr>
            <w:r>
              <w:rPr>
                <w:b/>
                <w:szCs w:val="21"/>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2" w:type="pct"/>
            <w:vAlign w:val="center"/>
          </w:tcPr>
          <w:p>
            <w:pPr>
              <w:wordWrap w:val="0"/>
              <w:spacing w:line="380" w:lineRule="atLeast"/>
              <w:jc w:val="center"/>
              <w:rPr>
                <w:b/>
                <w:szCs w:val="21"/>
              </w:rPr>
            </w:pPr>
            <w:r>
              <w:rPr>
                <w:b/>
                <w:szCs w:val="21"/>
              </w:rPr>
              <w:t>条款号</w:t>
            </w:r>
          </w:p>
        </w:tc>
        <w:tc>
          <w:tcPr>
            <w:tcW w:w="641" w:type="pct"/>
            <w:gridSpan w:val="2"/>
            <w:vAlign w:val="center"/>
          </w:tcPr>
          <w:p>
            <w:pPr>
              <w:wordWrap w:val="0"/>
              <w:spacing w:line="380" w:lineRule="atLeast"/>
              <w:jc w:val="center"/>
              <w:rPr>
                <w:b/>
                <w:szCs w:val="21"/>
              </w:rPr>
            </w:pPr>
            <w:r>
              <w:rPr>
                <w:b/>
                <w:szCs w:val="21"/>
              </w:rPr>
              <w:t>评分因素</w:t>
            </w:r>
          </w:p>
        </w:tc>
        <w:tc>
          <w:tcPr>
            <w:tcW w:w="962" w:type="pct"/>
            <w:vAlign w:val="center"/>
          </w:tcPr>
          <w:p>
            <w:pPr>
              <w:wordWrap w:val="0"/>
              <w:spacing w:line="380" w:lineRule="atLeast"/>
              <w:ind w:left="-105" w:leftChars="-50" w:right="-105" w:rightChars="-50"/>
              <w:jc w:val="center"/>
              <w:rPr>
                <w:b/>
                <w:szCs w:val="21"/>
              </w:rPr>
            </w:pPr>
            <w:r>
              <w:rPr>
                <w:b/>
                <w:szCs w:val="21"/>
              </w:rPr>
              <w:t>评分因素权重分值</w:t>
            </w:r>
          </w:p>
        </w:tc>
        <w:tc>
          <w:tcPr>
            <w:tcW w:w="2274" w:type="pct"/>
            <w:vAlign w:val="center"/>
          </w:tcPr>
          <w:p>
            <w:pPr>
              <w:wordWrap w:val="0"/>
              <w:spacing w:line="380" w:lineRule="atLeast"/>
              <w:jc w:val="center"/>
              <w:rPr>
                <w:b/>
                <w:szCs w:val="21"/>
              </w:rPr>
            </w:pPr>
            <w:r>
              <w:rPr>
                <w:b/>
                <w:szCs w:val="21"/>
              </w:rPr>
              <w:t>各评分因素细分项</w:t>
            </w:r>
          </w:p>
        </w:tc>
        <w:tc>
          <w:tcPr>
            <w:tcW w:w="610" w:type="pct"/>
            <w:vAlign w:val="center"/>
          </w:tcPr>
          <w:p>
            <w:pPr>
              <w:spacing w:line="380" w:lineRule="atLeast"/>
              <w:jc w:val="center"/>
              <w:rPr>
                <w:b/>
                <w:szCs w:val="21"/>
              </w:rPr>
            </w:pPr>
            <w:r>
              <w:rPr>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513" w:type="pct"/>
            <w:vMerge w:val="restart"/>
            <w:vAlign w:val="center"/>
          </w:tcPr>
          <w:p>
            <w:pPr>
              <w:wordWrap w:val="0"/>
              <w:spacing w:line="380" w:lineRule="atLeast"/>
              <w:jc w:val="center"/>
              <w:rPr>
                <w:szCs w:val="21"/>
              </w:rPr>
            </w:pPr>
            <w:r>
              <w:rPr>
                <w:szCs w:val="21"/>
              </w:rPr>
              <w:t>2.2.2（1）</w:t>
            </w:r>
          </w:p>
        </w:tc>
        <w:tc>
          <w:tcPr>
            <w:tcW w:w="641" w:type="pct"/>
            <w:gridSpan w:val="2"/>
            <w:vMerge w:val="restart"/>
            <w:vAlign w:val="center"/>
          </w:tcPr>
          <w:p>
            <w:pPr>
              <w:wordWrap w:val="0"/>
              <w:spacing w:line="380" w:lineRule="atLeast"/>
              <w:jc w:val="center"/>
              <w:rPr>
                <w:szCs w:val="21"/>
              </w:rPr>
            </w:pPr>
            <w:r>
              <w:rPr>
                <w:szCs w:val="21"/>
              </w:rPr>
              <w:t>施工组织设计</w:t>
            </w:r>
            <w:r>
              <w:rPr>
                <w:rFonts w:hint="eastAsia"/>
                <w:szCs w:val="21"/>
              </w:rPr>
              <w:t>（40分）</w:t>
            </w:r>
          </w:p>
        </w:tc>
        <w:tc>
          <w:tcPr>
            <w:tcW w:w="962" w:type="pct"/>
            <w:vAlign w:val="center"/>
          </w:tcPr>
          <w:p>
            <w:pPr>
              <w:jc w:val="center"/>
              <w:rPr>
                <w:szCs w:val="21"/>
                <w:u w:val="single"/>
              </w:rPr>
            </w:pPr>
            <w:r>
              <w:rPr>
                <w:rFonts w:hint="eastAsia" w:ascii="宋体" w:hAnsi="宋体"/>
                <w:szCs w:val="21"/>
              </w:rPr>
              <w:t>总体施工组织布置及规划（应包含交通组织及调流方案）（5分）</w:t>
            </w:r>
          </w:p>
        </w:tc>
        <w:tc>
          <w:tcPr>
            <w:tcW w:w="2274" w:type="pct"/>
            <w:vAlign w:val="center"/>
          </w:tcPr>
          <w:p>
            <w:pPr>
              <w:rPr>
                <w:szCs w:val="21"/>
              </w:rPr>
            </w:pPr>
            <w:r>
              <w:rPr>
                <w:rFonts w:hint="eastAsia" w:ascii="宋体" w:hAnsi="宋体"/>
                <w:szCs w:val="21"/>
              </w:rPr>
              <w:t>针对本项目的总体施工组织、施工计划、（应包含交通组织及调流方案）实施方案等保证措施优劣程度。满分5分，其它酌情减分。</w:t>
            </w:r>
          </w:p>
        </w:tc>
        <w:tc>
          <w:tcPr>
            <w:tcW w:w="610" w:type="pct"/>
            <w:vAlign w:val="center"/>
          </w:tcPr>
          <w:p>
            <w:pPr>
              <w:jc w:val="center"/>
              <w:rPr>
                <w:szCs w:val="21"/>
              </w:rPr>
            </w:pPr>
            <w:r>
              <w:rPr>
                <w:rFonts w:hint="eastAsia" w:ascii="宋体" w:hAnsi="宋体"/>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主要工程项目的施工方案、方法、与技术措施，尤其对重点、关键、难点工程和技术复杂项目施工方案、方法及措施（8分）</w:t>
            </w:r>
          </w:p>
        </w:tc>
        <w:tc>
          <w:tcPr>
            <w:tcW w:w="2274" w:type="pct"/>
            <w:vAlign w:val="center"/>
          </w:tcPr>
          <w:p>
            <w:pPr>
              <w:rPr>
                <w:szCs w:val="21"/>
              </w:rPr>
            </w:pPr>
            <w:r>
              <w:rPr>
                <w:rFonts w:hint="eastAsia" w:ascii="宋体" w:hAnsi="宋体"/>
                <w:szCs w:val="21"/>
              </w:rPr>
              <w:t>针对本项目的重点、关键、难点工程和技术复杂项目施工方案、方法及技术措施，优劣程度。满分8分，其它酌情减分。</w:t>
            </w:r>
          </w:p>
        </w:tc>
        <w:tc>
          <w:tcPr>
            <w:tcW w:w="610" w:type="pct"/>
            <w:vAlign w:val="center"/>
          </w:tcPr>
          <w:p>
            <w:pPr>
              <w:jc w:val="center"/>
              <w:rPr>
                <w:szCs w:val="21"/>
                <w:u w:val="single"/>
              </w:rPr>
            </w:pPr>
            <w:r>
              <w:rPr>
                <w:rFonts w:hint="eastAsia" w:ascii="宋体" w:hAnsi="宋体"/>
                <w:szCs w:val="21"/>
              </w:rPr>
              <w:t>4.8～8分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rFonts w:ascii="宋体" w:hAnsi="宋体"/>
                <w:szCs w:val="21"/>
              </w:rPr>
            </w:pPr>
            <w:r>
              <w:rPr>
                <w:rFonts w:hint="eastAsia" w:ascii="宋体" w:hAnsi="宋体"/>
                <w:szCs w:val="21"/>
              </w:rPr>
              <w:t>工期保证体系及保证措施（5分）</w:t>
            </w:r>
          </w:p>
        </w:tc>
        <w:tc>
          <w:tcPr>
            <w:tcW w:w="2274" w:type="pct"/>
            <w:vAlign w:val="center"/>
          </w:tcPr>
          <w:p>
            <w:pPr>
              <w:rPr>
                <w:rFonts w:ascii="宋体" w:hAnsi="宋体"/>
                <w:szCs w:val="21"/>
              </w:rPr>
            </w:pPr>
            <w:r>
              <w:rPr>
                <w:rFonts w:hint="eastAsia" w:ascii="宋体" w:hAnsi="宋体"/>
                <w:szCs w:val="21"/>
              </w:rPr>
              <w:t>针对本项目的工期保证体系及保证措施（投标人应提出每个计量期完成的任务目标和资金额）优劣程度。满分5分，其它酌情减分。</w:t>
            </w:r>
          </w:p>
        </w:tc>
        <w:tc>
          <w:tcPr>
            <w:tcW w:w="610" w:type="pct"/>
            <w:vAlign w:val="center"/>
          </w:tcPr>
          <w:p>
            <w:pPr>
              <w:jc w:val="center"/>
              <w:rPr>
                <w:rFonts w:ascii="宋体" w:hAnsi="宋体"/>
                <w:szCs w:val="21"/>
              </w:rPr>
            </w:pPr>
            <w:r>
              <w:rPr>
                <w:rFonts w:hint="eastAsia" w:ascii="宋体" w:hAnsi="宋体"/>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工程质量管理体系及保证措施（5分）</w:t>
            </w:r>
          </w:p>
        </w:tc>
        <w:tc>
          <w:tcPr>
            <w:tcW w:w="2274" w:type="pct"/>
            <w:vAlign w:val="center"/>
          </w:tcPr>
          <w:p>
            <w:pPr>
              <w:rPr>
                <w:szCs w:val="21"/>
              </w:rPr>
            </w:pPr>
            <w:r>
              <w:rPr>
                <w:rFonts w:hint="eastAsia" w:ascii="宋体" w:hAnsi="宋体"/>
                <w:szCs w:val="21"/>
              </w:rPr>
              <w:t>针对本项目的工程质量管理体系及保证措施（含有效的</w:t>
            </w:r>
            <w:r>
              <w:rPr>
                <w:rFonts w:ascii="宋体" w:hAnsi="宋体"/>
                <w:szCs w:val="21"/>
              </w:rPr>
              <w:t>档案及内业管理措施</w:t>
            </w:r>
            <w:r>
              <w:rPr>
                <w:rFonts w:hint="eastAsia" w:ascii="宋体" w:hAnsi="宋体"/>
                <w:szCs w:val="21"/>
              </w:rPr>
              <w:t>）优劣程度。满分5分，其它酌情减分。</w:t>
            </w:r>
          </w:p>
        </w:tc>
        <w:tc>
          <w:tcPr>
            <w:tcW w:w="610" w:type="pct"/>
            <w:vAlign w:val="center"/>
          </w:tcPr>
          <w:p>
            <w:pPr>
              <w:jc w:val="center"/>
              <w:rPr>
                <w:szCs w:val="21"/>
                <w:u w:val="single"/>
              </w:rPr>
            </w:pPr>
            <w:r>
              <w:rPr>
                <w:rFonts w:hint="eastAsia" w:ascii="宋体" w:hAnsi="宋体"/>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安全生产管理体系及保证措施（5分）</w:t>
            </w:r>
          </w:p>
        </w:tc>
        <w:tc>
          <w:tcPr>
            <w:tcW w:w="2274" w:type="pct"/>
            <w:vAlign w:val="center"/>
          </w:tcPr>
          <w:p>
            <w:pPr>
              <w:rPr>
                <w:szCs w:val="21"/>
              </w:rPr>
            </w:pPr>
            <w:r>
              <w:rPr>
                <w:rFonts w:hint="eastAsia" w:ascii="宋体" w:hAnsi="宋体"/>
                <w:szCs w:val="21"/>
              </w:rPr>
              <w:t>针对本项目的安全生产管理体系及保证措施优劣程度。满分5分，其它酌情减分。</w:t>
            </w:r>
          </w:p>
        </w:tc>
        <w:tc>
          <w:tcPr>
            <w:tcW w:w="610" w:type="pct"/>
            <w:vAlign w:val="center"/>
          </w:tcPr>
          <w:p>
            <w:pPr>
              <w:jc w:val="center"/>
              <w:rPr>
                <w:szCs w:val="21"/>
                <w:u w:val="single"/>
              </w:rPr>
            </w:pPr>
            <w:r>
              <w:rPr>
                <w:rFonts w:hint="eastAsia" w:ascii="宋体" w:hAnsi="宋体"/>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环境保护、水土保持保证体系及保证措施  （4分）</w:t>
            </w:r>
          </w:p>
        </w:tc>
        <w:tc>
          <w:tcPr>
            <w:tcW w:w="2274" w:type="pct"/>
            <w:vAlign w:val="center"/>
          </w:tcPr>
          <w:p>
            <w:pPr>
              <w:snapToGrid w:val="0"/>
              <w:ind w:left="-82" w:leftChars="-39"/>
              <w:rPr>
                <w:szCs w:val="21"/>
              </w:rPr>
            </w:pPr>
            <w:r>
              <w:rPr>
                <w:rFonts w:hint="eastAsia" w:ascii="宋体" w:hAnsi="宋体"/>
                <w:szCs w:val="21"/>
              </w:rPr>
              <w:t>针对本项目的环境保护、水土保持保证体系及保证措施优劣程度。满分4分，其它酌情减分。</w:t>
            </w:r>
          </w:p>
        </w:tc>
        <w:tc>
          <w:tcPr>
            <w:tcW w:w="610" w:type="pct"/>
            <w:vAlign w:val="center"/>
          </w:tcPr>
          <w:p>
            <w:pPr>
              <w:jc w:val="center"/>
              <w:rPr>
                <w:szCs w:val="21"/>
                <w:u w:val="single"/>
              </w:rPr>
            </w:pPr>
            <w:r>
              <w:rPr>
                <w:rFonts w:hint="eastAsia" w:ascii="宋体" w:hAnsi="宋体"/>
                <w:szCs w:val="21"/>
              </w:rPr>
              <w:t>2.4～4分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文明施工及保证措施  （4分）</w:t>
            </w:r>
          </w:p>
        </w:tc>
        <w:tc>
          <w:tcPr>
            <w:tcW w:w="2274" w:type="pct"/>
            <w:vAlign w:val="center"/>
          </w:tcPr>
          <w:p>
            <w:pPr>
              <w:snapToGrid w:val="0"/>
              <w:ind w:left="-82" w:leftChars="-39"/>
              <w:rPr>
                <w:szCs w:val="21"/>
              </w:rPr>
            </w:pPr>
            <w:r>
              <w:rPr>
                <w:rFonts w:hint="eastAsia" w:ascii="宋体" w:hAnsi="宋体"/>
                <w:szCs w:val="21"/>
              </w:rPr>
              <w:t>针对本项目的文明施工及保证措施优劣程度。满分4分，其它酌情减分。</w:t>
            </w:r>
          </w:p>
        </w:tc>
        <w:tc>
          <w:tcPr>
            <w:tcW w:w="610" w:type="pct"/>
            <w:vAlign w:val="center"/>
          </w:tcPr>
          <w:p>
            <w:pPr>
              <w:jc w:val="center"/>
              <w:rPr>
                <w:szCs w:val="21"/>
                <w:u w:val="single"/>
              </w:rPr>
            </w:pPr>
            <w:r>
              <w:rPr>
                <w:rFonts w:hint="eastAsia" w:ascii="宋体" w:hAnsi="宋体"/>
                <w:szCs w:val="21"/>
              </w:rPr>
              <w:t>2.4～4分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项目风险预测与防范，事故应急预案（4分）</w:t>
            </w:r>
          </w:p>
        </w:tc>
        <w:tc>
          <w:tcPr>
            <w:tcW w:w="2274" w:type="pct"/>
            <w:vAlign w:val="center"/>
          </w:tcPr>
          <w:p>
            <w:pPr>
              <w:snapToGrid w:val="0"/>
              <w:ind w:left="-82" w:leftChars="-39"/>
              <w:rPr>
                <w:szCs w:val="21"/>
              </w:rPr>
            </w:pPr>
            <w:r>
              <w:rPr>
                <w:rFonts w:hint="eastAsia" w:ascii="宋体" w:hAnsi="宋体"/>
                <w:szCs w:val="21"/>
              </w:rPr>
              <w:t>针对本项目的项目风险预测与防范，事故应急预案优劣程度。满分4分，其它酌情减分。</w:t>
            </w:r>
          </w:p>
        </w:tc>
        <w:tc>
          <w:tcPr>
            <w:tcW w:w="610" w:type="pct"/>
            <w:vAlign w:val="center"/>
          </w:tcPr>
          <w:p>
            <w:pPr>
              <w:jc w:val="center"/>
              <w:rPr>
                <w:szCs w:val="21"/>
                <w:u w:val="single"/>
              </w:rPr>
            </w:pPr>
            <w:r>
              <w:rPr>
                <w:rFonts w:hint="eastAsia" w:ascii="宋体" w:hAnsi="宋体"/>
                <w:szCs w:val="21"/>
              </w:rPr>
              <w:t>2.4～4分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restart"/>
            <w:vAlign w:val="center"/>
          </w:tcPr>
          <w:p>
            <w:pPr>
              <w:wordWrap w:val="0"/>
              <w:spacing w:line="360" w:lineRule="atLeast"/>
              <w:ind w:left="-92" w:leftChars="-44" w:right="-88" w:rightChars="-42"/>
              <w:jc w:val="center"/>
              <w:rPr>
                <w:szCs w:val="21"/>
              </w:rPr>
            </w:pPr>
            <w:r>
              <w:rPr>
                <w:szCs w:val="21"/>
              </w:rPr>
              <w:t>2.2.2（2）</w:t>
            </w:r>
          </w:p>
        </w:tc>
        <w:tc>
          <w:tcPr>
            <w:tcW w:w="641" w:type="pct"/>
            <w:gridSpan w:val="2"/>
            <w:vMerge w:val="restart"/>
            <w:vAlign w:val="center"/>
          </w:tcPr>
          <w:p>
            <w:pPr>
              <w:wordWrap w:val="0"/>
              <w:spacing w:line="360" w:lineRule="atLeast"/>
              <w:jc w:val="center"/>
              <w:rPr>
                <w:szCs w:val="21"/>
              </w:rPr>
            </w:pPr>
            <w:r>
              <w:rPr>
                <w:szCs w:val="21"/>
              </w:rPr>
              <w:t>主要人员</w:t>
            </w:r>
            <w:r>
              <w:rPr>
                <w:rFonts w:hint="eastAsia"/>
                <w:szCs w:val="21"/>
              </w:rPr>
              <w:t>（25分）</w:t>
            </w:r>
          </w:p>
        </w:tc>
        <w:tc>
          <w:tcPr>
            <w:tcW w:w="962" w:type="pct"/>
            <w:vAlign w:val="center"/>
          </w:tcPr>
          <w:p>
            <w:pPr>
              <w:spacing w:line="380" w:lineRule="atLeast"/>
              <w:jc w:val="center"/>
              <w:rPr>
                <w:szCs w:val="21"/>
              </w:rPr>
            </w:pPr>
            <w:r>
              <w:rPr>
                <w:rFonts w:hint="eastAsia"/>
                <w:szCs w:val="21"/>
              </w:rPr>
              <w:t>项目经理</w:t>
            </w:r>
          </w:p>
          <w:p>
            <w:pPr>
              <w:wordWrap w:val="0"/>
              <w:spacing w:line="380" w:lineRule="atLeast"/>
              <w:jc w:val="center"/>
              <w:rPr>
                <w:szCs w:val="21"/>
              </w:rPr>
            </w:pPr>
            <w:r>
              <w:rPr>
                <w:rFonts w:hint="eastAsia"/>
                <w:szCs w:val="21"/>
              </w:rPr>
              <w:t>（15分）</w:t>
            </w:r>
          </w:p>
        </w:tc>
        <w:tc>
          <w:tcPr>
            <w:tcW w:w="2274" w:type="pct"/>
            <w:vAlign w:val="center"/>
          </w:tcPr>
          <w:p>
            <w:pPr>
              <w:wordWrap w:val="0"/>
              <w:spacing w:line="380" w:lineRule="atLeast"/>
              <w:rPr>
                <w:szCs w:val="21"/>
              </w:rPr>
            </w:pPr>
            <w:r>
              <w:rPr>
                <w:rFonts w:hint="eastAsia" w:ascii="宋体" w:hAnsi="宋体"/>
                <w:szCs w:val="21"/>
              </w:rPr>
              <w:t>满足资格审查强制性资格条件要求得15分。</w:t>
            </w:r>
          </w:p>
        </w:tc>
        <w:tc>
          <w:tcPr>
            <w:tcW w:w="610" w:type="pct"/>
            <w:vAlign w:val="center"/>
          </w:tcPr>
          <w:p>
            <w:pPr>
              <w:wordWrap w:val="0"/>
              <w:spacing w:line="380" w:lineRule="atLeast"/>
              <w:jc w:val="right"/>
              <w:rPr>
                <w:szCs w:val="21"/>
              </w:rPr>
            </w:pPr>
            <w:r>
              <w:rPr>
                <w:rFonts w:hint="eastAsia"/>
                <w:szCs w:val="21"/>
                <w:u w:val="single"/>
              </w:rPr>
              <w:t>15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60" w:lineRule="atLeast"/>
              <w:ind w:left="-92" w:leftChars="-44" w:right="-88" w:rightChars="-42"/>
              <w:jc w:val="center"/>
              <w:rPr>
                <w:szCs w:val="21"/>
              </w:rPr>
            </w:pPr>
          </w:p>
        </w:tc>
        <w:tc>
          <w:tcPr>
            <w:tcW w:w="641" w:type="pct"/>
            <w:gridSpan w:val="2"/>
            <w:vMerge w:val="continue"/>
            <w:vAlign w:val="center"/>
          </w:tcPr>
          <w:p>
            <w:pPr>
              <w:wordWrap w:val="0"/>
              <w:spacing w:line="360" w:lineRule="atLeast"/>
              <w:jc w:val="center"/>
              <w:rPr>
                <w:szCs w:val="21"/>
              </w:rPr>
            </w:pPr>
          </w:p>
        </w:tc>
        <w:tc>
          <w:tcPr>
            <w:tcW w:w="962" w:type="pct"/>
            <w:vAlign w:val="center"/>
          </w:tcPr>
          <w:p>
            <w:pPr>
              <w:wordWrap w:val="0"/>
              <w:spacing w:line="380" w:lineRule="atLeast"/>
              <w:jc w:val="center"/>
              <w:rPr>
                <w:szCs w:val="21"/>
              </w:rPr>
            </w:pPr>
            <w:r>
              <w:rPr>
                <w:rFonts w:hint="eastAsia"/>
                <w:szCs w:val="21"/>
              </w:rPr>
              <w:t>项目总工</w:t>
            </w:r>
          </w:p>
          <w:p>
            <w:pPr>
              <w:wordWrap w:val="0"/>
              <w:spacing w:line="380" w:lineRule="atLeast"/>
              <w:jc w:val="center"/>
              <w:rPr>
                <w:szCs w:val="21"/>
              </w:rPr>
            </w:pPr>
            <w:r>
              <w:rPr>
                <w:rFonts w:hint="eastAsia"/>
                <w:szCs w:val="21"/>
              </w:rPr>
              <w:t>（10分）</w:t>
            </w:r>
          </w:p>
        </w:tc>
        <w:tc>
          <w:tcPr>
            <w:tcW w:w="2274" w:type="pct"/>
            <w:vAlign w:val="center"/>
          </w:tcPr>
          <w:p>
            <w:pPr>
              <w:tabs>
                <w:tab w:val="left" w:pos="4821"/>
              </w:tabs>
              <w:topLinePunct/>
              <w:spacing w:line="360" w:lineRule="auto"/>
              <w:rPr>
                <w:szCs w:val="21"/>
              </w:rPr>
            </w:pPr>
            <w:r>
              <w:rPr>
                <w:rFonts w:hint="eastAsia" w:ascii="宋体" w:hAnsi="宋体"/>
                <w:szCs w:val="21"/>
              </w:rPr>
              <w:t>满足资格审查强制性资格条件要求，得10分。</w:t>
            </w:r>
          </w:p>
        </w:tc>
        <w:tc>
          <w:tcPr>
            <w:tcW w:w="610" w:type="pct"/>
            <w:vAlign w:val="center"/>
          </w:tcPr>
          <w:p>
            <w:pPr>
              <w:wordWrap w:val="0"/>
              <w:spacing w:line="380" w:lineRule="atLeast"/>
              <w:jc w:val="right"/>
              <w:rPr>
                <w:szCs w:val="21"/>
              </w:rPr>
            </w:pPr>
            <w:r>
              <w:rPr>
                <w:rFonts w:hint="eastAsia"/>
                <w:szCs w:val="21"/>
                <w:u w:val="single"/>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restart"/>
            <w:vAlign w:val="center"/>
          </w:tcPr>
          <w:p>
            <w:pPr>
              <w:wordWrap w:val="0"/>
              <w:spacing w:line="380" w:lineRule="atLeast"/>
              <w:jc w:val="center"/>
              <w:rPr>
                <w:szCs w:val="21"/>
              </w:rPr>
            </w:pPr>
            <w:r>
              <w:rPr>
                <w:szCs w:val="21"/>
              </w:rPr>
              <w:t>2.2.2（3）</w:t>
            </w:r>
          </w:p>
        </w:tc>
        <w:tc>
          <w:tcPr>
            <w:tcW w:w="258" w:type="pct"/>
            <w:vMerge w:val="restart"/>
            <w:vAlign w:val="center"/>
          </w:tcPr>
          <w:p>
            <w:pPr>
              <w:wordWrap w:val="0"/>
              <w:spacing w:line="380" w:lineRule="atLeast"/>
              <w:jc w:val="center"/>
              <w:rPr>
                <w:szCs w:val="21"/>
              </w:rPr>
            </w:pPr>
            <w:r>
              <w:rPr>
                <w:szCs w:val="21"/>
              </w:rPr>
              <w:t>其他因素</w:t>
            </w:r>
          </w:p>
        </w:tc>
        <w:tc>
          <w:tcPr>
            <w:tcW w:w="382" w:type="pct"/>
            <w:vAlign w:val="center"/>
          </w:tcPr>
          <w:p>
            <w:pPr>
              <w:wordWrap w:val="0"/>
              <w:spacing w:line="380" w:lineRule="atLeast"/>
              <w:jc w:val="center"/>
              <w:rPr>
                <w:szCs w:val="21"/>
              </w:rPr>
            </w:pPr>
            <w:r>
              <w:rPr>
                <w:szCs w:val="21"/>
              </w:rPr>
              <w:t>技术</w:t>
            </w:r>
          </w:p>
          <w:p>
            <w:pPr>
              <w:wordWrap w:val="0"/>
              <w:spacing w:line="380" w:lineRule="atLeast"/>
              <w:jc w:val="center"/>
              <w:rPr>
                <w:szCs w:val="21"/>
              </w:rPr>
            </w:pPr>
            <w:r>
              <w:rPr>
                <w:szCs w:val="21"/>
              </w:rPr>
              <w:t>能力</w:t>
            </w:r>
          </w:p>
        </w:tc>
        <w:tc>
          <w:tcPr>
            <w:tcW w:w="962" w:type="pct"/>
            <w:vAlign w:val="center"/>
          </w:tcPr>
          <w:p>
            <w:pPr>
              <w:spacing w:line="380" w:lineRule="atLeast"/>
              <w:jc w:val="center"/>
              <w:rPr>
                <w:szCs w:val="21"/>
              </w:rPr>
            </w:pPr>
            <w:r>
              <w:rPr>
                <w:rFonts w:hint="eastAsia"/>
                <w:szCs w:val="21"/>
              </w:rPr>
              <w:t>企业业绩</w:t>
            </w:r>
          </w:p>
          <w:p>
            <w:pPr>
              <w:spacing w:line="380" w:lineRule="atLeast"/>
              <w:jc w:val="center"/>
              <w:rPr>
                <w:szCs w:val="21"/>
              </w:rPr>
            </w:pPr>
            <w:r>
              <w:rPr>
                <w:rFonts w:hint="eastAsia"/>
                <w:szCs w:val="21"/>
              </w:rPr>
              <w:t>（15分）</w:t>
            </w:r>
          </w:p>
        </w:tc>
        <w:tc>
          <w:tcPr>
            <w:tcW w:w="2274" w:type="pct"/>
          </w:tcPr>
          <w:p>
            <w:pPr>
              <w:wordWrap w:val="0"/>
              <w:spacing w:line="380" w:lineRule="atLeast"/>
              <w:jc w:val="left"/>
            </w:pPr>
            <w:r>
              <w:rPr>
                <w:rFonts w:hint="eastAsia"/>
                <w:szCs w:val="21"/>
              </w:rPr>
              <w:t>（1）企业满足资格审查强制性资格条件要求的，得15分。</w:t>
            </w:r>
          </w:p>
        </w:tc>
        <w:tc>
          <w:tcPr>
            <w:tcW w:w="610" w:type="pct"/>
            <w:vAlign w:val="center"/>
          </w:tcPr>
          <w:p>
            <w:pPr>
              <w:wordWrap w:val="0"/>
              <w:spacing w:line="380" w:lineRule="atLeast"/>
              <w:jc w:val="right"/>
              <w:rPr>
                <w:szCs w:val="21"/>
              </w:rPr>
            </w:pPr>
            <w:r>
              <w:rPr>
                <w:szCs w:val="21"/>
                <w:u w:val="single"/>
              </w:rPr>
              <w:t xml:space="preserve"> </w:t>
            </w:r>
            <w:r>
              <w:rPr>
                <w:rFonts w:hint="eastAsia"/>
                <w:szCs w:val="21"/>
                <w:u w:val="single"/>
              </w:rPr>
              <w:t>15</w:t>
            </w:r>
            <w:r>
              <w:rPr>
                <w:szCs w:val="21"/>
                <w:u w:val="single"/>
              </w:rPr>
              <w:t xml:space="preserve"> </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513" w:type="pct"/>
            <w:vMerge w:val="continue"/>
            <w:vAlign w:val="center"/>
          </w:tcPr>
          <w:p>
            <w:pPr>
              <w:wordWrap w:val="0"/>
              <w:spacing w:line="380" w:lineRule="atLeast"/>
              <w:jc w:val="center"/>
              <w:rPr>
                <w:rFonts w:eastAsia="隶书"/>
                <w:szCs w:val="21"/>
              </w:rPr>
            </w:pPr>
          </w:p>
        </w:tc>
        <w:tc>
          <w:tcPr>
            <w:tcW w:w="258" w:type="pct"/>
            <w:vMerge w:val="continue"/>
            <w:vAlign w:val="center"/>
          </w:tcPr>
          <w:p>
            <w:pPr>
              <w:wordWrap w:val="0"/>
              <w:spacing w:line="380" w:lineRule="atLeast"/>
              <w:ind w:left="-105" w:leftChars="-50" w:right="-105" w:rightChars="-50"/>
              <w:jc w:val="center"/>
              <w:rPr>
                <w:rFonts w:eastAsia="隶书"/>
                <w:szCs w:val="21"/>
              </w:rPr>
            </w:pPr>
          </w:p>
        </w:tc>
        <w:tc>
          <w:tcPr>
            <w:tcW w:w="382" w:type="pct"/>
            <w:vAlign w:val="center"/>
          </w:tcPr>
          <w:p>
            <w:pPr>
              <w:wordWrap w:val="0"/>
              <w:spacing w:line="380" w:lineRule="atLeast"/>
              <w:ind w:left="-105" w:leftChars="-50" w:right="-105" w:rightChars="-50"/>
              <w:jc w:val="center"/>
              <w:rPr>
                <w:szCs w:val="21"/>
              </w:rPr>
            </w:pPr>
            <w:r>
              <w:rPr>
                <w:szCs w:val="21"/>
              </w:rPr>
              <w:t>履约信誉</w:t>
            </w:r>
          </w:p>
        </w:tc>
        <w:tc>
          <w:tcPr>
            <w:tcW w:w="962" w:type="pct"/>
            <w:vAlign w:val="center"/>
          </w:tcPr>
          <w:p>
            <w:pPr>
              <w:wordWrap w:val="0"/>
              <w:spacing w:line="380" w:lineRule="atLeast"/>
              <w:jc w:val="center"/>
              <w:rPr>
                <w:szCs w:val="21"/>
              </w:rPr>
            </w:pPr>
            <w:r>
              <w:rPr>
                <w:szCs w:val="21"/>
              </w:rPr>
              <w:t>履约信誉</w:t>
            </w:r>
          </w:p>
          <w:p>
            <w:pPr>
              <w:wordWrap w:val="0"/>
              <w:spacing w:line="380" w:lineRule="atLeast"/>
              <w:jc w:val="center"/>
              <w:rPr>
                <w:szCs w:val="21"/>
              </w:rPr>
            </w:pPr>
            <w:r>
              <w:rPr>
                <w:rFonts w:hint="eastAsia"/>
                <w:szCs w:val="21"/>
              </w:rPr>
              <w:t>（20分）</w:t>
            </w:r>
          </w:p>
        </w:tc>
        <w:tc>
          <w:tcPr>
            <w:tcW w:w="2274" w:type="pct"/>
          </w:tcPr>
          <w:p>
            <w:pPr>
              <w:wordWrap w:val="0"/>
              <w:spacing w:line="380" w:lineRule="atLeast"/>
              <w:jc w:val="left"/>
              <w:rPr>
                <w:szCs w:val="21"/>
              </w:rPr>
            </w:pPr>
            <w:r>
              <w:rPr>
                <w:szCs w:val="21"/>
              </w:rPr>
              <w:t>投标人在省级及以上交通运输主管部门发布有效的施工企业信用评价结果</w:t>
            </w:r>
            <w:r>
              <w:rPr>
                <w:rFonts w:hint="eastAsia"/>
                <w:szCs w:val="21"/>
              </w:rPr>
              <w:t>，上两年度 AA 级信用等级为 20分，上一年度AA 级信用等级为 18分、A 级信用等级为15分、B 级信用等级为10分，C级信用等级为5分，D级信用等级为0分。</w:t>
            </w:r>
          </w:p>
          <w:p>
            <w:pPr>
              <w:wordWrap w:val="0"/>
              <w:spacing w:line="380" w:lineRule="atLeast"/>
              <w:jc w:val="left"/>
              <w:rPr>
                <w:szCs w:val="21"/>
              </w:rPr>
            </w:pPr>
            <w:r>
              <w:rPr>
                <w:szCs w:val="21"/>
              </w:rPr>
              <w:t>1.信用评价等级按照以下原则认定:</w:t>
            </w:r>
          </w:p>
          <w:p>
            <w:pPr>
              <w:wordWrap w:val="0"/>
              <w:spacing w:line="380" w:lineRule="atLeast"/>
              <w:jc w:val="left"/>
              <w:rPr>
                <w:szCs w:val="21"/>
              </w:rPr>
            </w:pPr>
            <w:r>
              <w:rPr>
                <w:szCs w:val="21"/>
              </w:rPr>
              <w:t>企业具备有效的辽宁省公路施工企业信用评价等级时，投标按其认定；不具备时，投标信用评价等级按照以下原则认定：</w:t>
            </w:r>
          </w:p>
          <w:p>
            <w:pPr>
              <w:wordWrap w:val="0"/>
              <w:spacing w:line="380" w:lineRule="atLeast"/>
              <w:jc w:val="left"/>
              <w:rPr>
                <w:szCs w:val="21"/>
              </w:rPr>
            </w:pPr>
            <w:r>
              <w:rPr>
                <w:szCs w:val="21"/>
              </w:rPr>
              <w:t>（一）具有全国综合信用评价等级的，按照全国综合信用评价等级认定。</w:t>
            </w:r>
          </w:p>
          <w:p>
            <w:pPr>
              <w:wordWrap w:val="0"/>
              <w:spacing w:line="380" w:lineRule="atLeast"/>
              <w:jc w:val="left"/>
              <w:rPr>
                <w:szCs w:val="21"/>
              </w:rPr>
            </w:pPr>
            <w:r>
              <w:rPr>
                <w:szCs w:val="21"/>
              </w:rPr>
              <w:t>（二）无全国综合信用评价等级的，按照企业注册地省级信用评价等级认定。</w:t>
            </w:r>
          </w:p>
          <w:p>
            <w:pPr>
              <w:wordWrap w:val="0"/>
              <w:spacing w:line="380" w:lineRule="atLeast"/>
              <w:jc w:val="left"/>
              <w:rPr>
                <w:szCs w:val="21"/>
              </w:rPr>
            </w:pPr>
            <w:r>
              <w:rPr>
                <w:szCs w:val="21"/>
              </w:rPr>
              <w:t>（三）无全国综合信用评价等级和注册地省级信用评价等级的，根据“</w:t>
            </w:r>
            <w:r>
              <w:rPr>
                <w:rFonts w:hint="eastAsia"/>
                <w:szCs w:val="21"/>
              </w:rPr>
              <w:t>全国公路建设市场监督管理系统</w:t>
            </w:r>
            <w:r>
              <w:rPr>
                <w:szCs w:val="21"/>
              </w:rPr>
              <w:t>”查询结果(由投标人提供系统查询后的网页复核)，无不良行为记录的按A级认定，有不良行为记录但超过三年（自然年，下同）的按B级认定，三年内有不良行为记录的按C级认定。</w:t>
            </w:r>
          </w:p>
          <w:p>
            <w:pPr>
              <w:wordWrap w:val="0"/>
              <w:spacing w:line="380" w:lineRule="atLeast"/>
              <w:jc w:val="left"/>
              <w:rPr>
                <w:szCs w:val="21"/>
              </w:rPr>
            </w:pPr>
            <w:r>
              <w:rPr>
                <w:szCs w:val="21"/>
              </w:rPr>
              <w:t>2.投标人有多个信用评价结果时按辽宁省、交通运输部、企业注册地的顺序提供，如未按顺序提供，只提供最高等级的，评标委员会现场核实后对未按要求顺序提供信用等级评价结果的投标人此项分值赋分为0分。</w:t>
            </w:r>
          </w:p>
          <w:p>
            <w:pPr>
              <w:wordWrap w:val="0"/>
              <w:spacing w:line="380" w:lineRule="atLeast"/>
              <w:jc w:val="left"/>
              <w:rPr>
                <w:szCs w:val="21"/>
              </w:rPr>
            </w:pPr>
            <w:r>
              <w:rPr>
                <w:szCs w:val="21"/>
              </w:rPr>
              <w:t>3.信用评价结果按递交投标文件截止时间之前网上公布的最新评价结果为准，公示期内除外。</w:t>
            </w:r>
          </w:p>
          <w:p>
            <w:pPr>
              <w:wordWrap w:val="0"/>
              <w:spacing w:line="380" w:lineRule="atLeast"/>
              <w:jc w:val="left"/>
              <w:rPr>
                <w:szCs w:val="21"/>
              </w:rPr>
            </w:pPr>
            <w:r>
              <w:rPr>
                <w:szCs w:val="21"/>
              </w:rPr>
              <w:t>注：</w:t>
            </w:r>
            <w:r>
              <w:rPr>
                <w:rFonts w:hint="eastAsia"/>
                <w:szCs w:val="21"/>
              </w:rPr>
              <w:t>1.</w:t>
            </w:r>
            <w:r>
              <w:rPr>
                <w:szCs w:val="21"/>
              </w:rPr>
              <w:t>若投标人以联合体形式投标，上述信用评价</w:t>
            </w:r>
            <w:r>
              <w:rPr>
                <w:rFonts w:hint="eastAsia"/>
                <w:szCs w:val="21"/>
              </w:rPr>
              <w:t>按信用评价低的确定其得分</w:t>
            </w:r>
            <w:r>
              <w:rPr>
                <w:szCs w:val="21"/>
              </w:rPr>
              <w:t>。</w:t>
            </w:r>
          </w:p>
        </w:tc>
        <w:tc>
          <w:tcPr>
            <w:tcW w:w="610" w:type="pct"/>
            <w:vAlign w:val="center"/>
          </w:tcPr>
          <w:p>
            <w:pPr>
              <w:wordWrap w:val="0"/>
              <w:spacing w:line="380" w:lineRule="atLeast"/>
              <w:rPr>
                <w:szCs w:val="21"/>
              </w:rPr>
            </w:pPr>
            <w:r>
              <w:rPr>
                <w:szCs w:val="21"/>
                <w:u w:val="single"/>
              </w:rPr>
              <w:t xml:space="preserve"> </w:t>
            </w:r>
            <w:r>
              <w:rPr>
                <w:rFonts w:hint="eastAsia"/>
                <w:szCs w:val="21"/>
                <w:u w:val="single"/>
              </w:rPr>
              <w:t>20</w:t>
            </w:r>
            <w:r>
              <w:rPr>
                <w:szCs w:val="21"/>
                <w:u w:val="single"/>
              </w:rPr>
              <w:t xml:space="preserve"> </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1" w:type="pct"/>
            <w:gridSpan w:val="6"/>
            <w:vAlign w:val="center"/>
          </w:tcPr>
          <w:p>
            <w:pPr>
              <w:wordWrap w:val="0"/>
              <w:spacing w:line="380" w:lineRule="atLeast"/>
              <w:rPr>
                <w:kern w:val="0"/>
                <w:sz w:val="20"/>
                <w:szCs w:val="21"/>
              </w:rPr>
            </w:pPr>
            <w:r>
              <w:rPr>
                <w:kern w:val="0"/>
                <w:sz w:val="20"/>
                <w:szCs w:val="21"/>
              </w:rPr>
              <w:t>需要补充的其他内容：</w:t>
            </w:r>
          </w:p>
          <w:p>
            <w:pPr>
              <w:spacing w:line="360" w:lineRule="auto"/>
              <w:ind w:firstLine="201" w:firstLineChars="100"/>
              <w:rPr>
                <w:b/>
                <w:bCs/>
                <w:kern w:val="0"/>
                <w:sz w:val="20"/>
                <w:szCs w:val="20"/>
              </w:rPr>
            </w:pPr>
            <w:r>
              <w:rPr>
                <w:rFonts w:hint="eastAsia"/>
                <w:b/>
                <w:bCs/>
                <w:kern w:val="0"/>
                <w:sz w:val="20"/>
                <w:szCs w:val="20"/>
              </w:rPr>
              <w:t>评标办法</w:t>
            </w:r>
          </w:p>
          <w:p>
            <w:pPr>
              <w:snapToGrid w:val="0"/>
              <w:spacing w:line="360" w:lineRule="auto"/>
              <w:ind w:firstLine="200" w:firstLineChars="100"/>
              <w:rPr>
                <w:kern w:val="0"/>
                <w:sz w:val="20"/>
                <w:szCs w:val="20"/>
              </w:rPr>
            </w:pPr>
            <w:r>
              <w:rPr>
                <w:rFonts w:hint="eastAsia"/>
                <w:kern w:val="0"/>
                <w:sz w:val="20"/>
                <w:szCs w:val="20"/>
              </w:rPr>
              <w:t>本条细化为：</w:t>
            </w:r>
          </w:p>
          <w:p>
            <w:pPr>
              <w:snapToGrid w:val="0"/>
              <w:spacing w:line="360" w:lineRule="auto"/>
              <w:ind w:firstLine="200" w:firstLineChars="100"/>
              <w:rPr>
                <w:kern w:val="0"/>
                <w:sz w:val="20"/>
                <w:szCs w:val="20"/>
              </w:rPr>
            </w:pPr>
            <w:r>
              <w:rPr>
                <w:rFonts w:hint="eastAsia"/>
                <w:kern w:val="0"/>
                <w:sz w:val="20"/>
                <w:szCs w:val="20"/>
              </w:rPr>
              <w:t>1.1</w:t>
            </w:r>
            <w:r>
              <w:rPr>
                <w:kern w:val="0"/>
                <w:sz w:val="20"/>
                <w:szCs w:val="20"/>
              </w:rPr>
              <w:t>本次评标</w:t>
            </w:r>
            <w:r>
              <w:rPr>
                <w:rFonts w:hint="eastAsia"/>
                <w:kern w:val="0"/>
                <w:sz w:val="20"/>
                <w:szCs w:val="20"/>
              </w:rPr>
              <w:t>采用</w:t>
            </w:r>
            <w:r>
              <w:rPr>
                <w:rFonts w:hint="eastAsia"/>
                <w:b/>
                <w:bCs/>
                <w:kern w:val="0"/>
                <w:sz w:val="20"/>
                <w:szCs w:val="20"/>
              </w:rPr>
              <w:t>双信封形式技术评分最低标价法</w:t>
            </w:r>
          </w:p>
          <w:p>
            <w:pPr>
              <w:snapToGrid w:val="0"/>
              <w:spacing w:line="360" w:lineRule="auto"/>
              <w:ind w:firstLine="200" w:firstLineChars="100"/>
              <w:rPr>
                <w:kern w:val="0"/>
                <w:sz w:val="20"/>
                <w:szCs w:val="20"/>
              </w:rPr>
            </w:pPr>
            <w:r>
              <w:rPr>
                <w:rFonts w:hint="eastAsia"/>
                <w:kern w:val="0"/>
                <w:sz w:val="20"/>
                <w:szCs w:val="20"/>
              </w:rPr>
              <w:t>（1）评标委员会首先对投标文件第一信封进行初步评审，然后对通过第一信封初步评审的投标文件按照本章2.2款规定的评分标准进行第一信封进行第一个信封详细评审，并按照投标人的商务和技术得分由高到低排序，排名在评标办法前附表3.2.4规定数量以内的投标人，方可进入进入第二个信封（报价文件）的评审，其第二信封在监督机关的监督下进行线上开标。</w:t>
            </w:r>
          </w:p>
          <w:p>
            <w:pPr>
              <w:snapToGrid w:val="0"/>
              <w:spacing w:line="360" w:lineRule="auto"/>
              <w:ind w:firstLine="200" w:firstLineChars="100"/>
              <w:rPr>
                <w:kern w:val="0"/>
                <w:sz w:val="20"/>
                <w:szCs w:val="20"/>
              </w:rPr>
            </w:pPr>
            <w:r>
              <w:rPr>
                <w:rFonts w:hint="eastAsia"/>
                <w:kern w:val="0"/>
                <w:sz w:val="20"/>
                <w:szCs w:val="20"/>
              </w:rPr>
              <w:t>若两个及以上投标人在综合得分均相同时，以项目所在地省级交通运输主管部门评为较高信用等级高者优先(优先顺序为辽宁省最新年度公路施工企业信用等级、交通运输部最新年度公路施工企业全国综合信用评价、注册地最新年度省公路施工企业信用等级)，若信用等级相同时，以施工组织设计得分高者优先。</w:t>
            </w:r>
          </w:p>
          <w:p>
            <w:pPr>
              <w:snapToGrid w:val="0"/>
              <w:spacing w:line="360" w:lineRule="auto"/>
              <w:ind w:firstLine="200" w:firstLineChars="100"/>
              <w:rPr>
                <w:kern w:val="0"/>
                <w:sz w:val="20"/>
                <w:szCs w:val="20"/>
              </w:rPr>
            </w:pPr>
            <w:r>
              <w:rPr>
                <w:rFonts w:hint="eastAsia"/>
                <w:kern w:val="0"/>
                <w:sz w:val="20"/>
                <w:szCs w:val="20"/>
              </w:rPr>
              <w:t>（2）评标委员会对开启的投标文件第二信封进行形式和响应性评审，对通过形式和响应性评审的投标人，按评标价由低至高的顺序推荐中标候选人。</w:t>
            </w:r>
          </w:p>
          <w:p>
            <w:pPr>
              <w:snapToGrid w:val="0"/>
              <w:spacing w:line="360" w:lineRule="auto"/>
              <w:ind w:firstLine="200" w:firstLineChars="100"/>
              <w:rPr>
                <w:kern w:val="0"/>
                <w:sz w:val="20"/>
                <w:szCs w:val="20"/>
              </w:rPr>
            </w:pPr>
            <w:r>
              <w:rPr>
                <w:rFonts w:hint="eastAsia"/>
                <w:kern w:val="0"/>
                <w:sz w:val="20"/>
                <w:szCs w:val="20"/>
              </w:rPr>
              <w:t>（3）通过第一信封评审的投标人为3个的，招标人将按规定的程序进行第二信封开标；在对第二信封进行评审后，有效投标人不足3个使得投标明显缺乏竞争的，评标委员会可以否决全部投标。评标委员会未否决全部投标的，应当在评标报告中阐明理由并推荐中标候选人。</w:t>
            </w:r>
          </w:p>
          <w:p>
            <w:pPr>
              <w:wordWrap w:val="0"/>
              <w:spacing w:line="380" w:lineRule="atLeast"/>
              <w:rPr>
                <w:szCs w:val="21"/>
                <w:u w:val="single"/>
              </w:rPr>
            </w:pPr>
            <w:r>
              <w:rPr>
                <w:rFonts w:hint="eastAsia"/>
                <w:kern w:val="0"/>
                <w:sz w:val="20"/>
                <w:szCs w:val="20"/>
              </w:rPr>
              <w:t>（4）若通过第一信封形式性与响应性及资格性评审的有效投标人数量仅为三家时，不再进行打分，第一信封评审采用通过制。</w:t>
            </w:r>
          </w:p>
        </w:tc>
      </w:tr>
    </w:tbl>
    <w:p/>
    <w:p>
      <w:pPr>
        <w:pStyle w:val="2"/>
        <w:wordWrap w:val="0"/>
        <w:rPr>
          <w:sz w:val="28"/>
          <w:szCs w:val="28"/>
        </w:rPr>
      </w:pPr>
      <w:r>
        <w:rPr>
          <w:sz w:val="27"/>
          <w:szCs w:val="27"/>
        </w:rPr>
        <w:br w:type="page"/>
      </w:r>
      <w:bookmarkStart w:id="3" w:name="_Toc196119657"/>
      <w:bookmarkStart w:id="4" w:name="_Toc19630"/>
      <w:r>
        <w:rPr>
          <w:sz w:val="28"/>
          <w:szCs w:val="28"/>
        </w:rPr>
        <w:t>1. 评标方法</w:t>
      </w:r>
      <w:bookmarkEnd w:id="3"/>
      <w:bookmarkEnd w:id="4"/>
    </w:p>
    <w:p>
      <w:pPr>
        <w:wordWrap w:val="0"/>
        <w:spacing w:line="400" w:lineRule="atLeast"/>
        <w:ind w:firstLine="480" w:firstLineChars="200"/>
        <w:rPr>
          <w:sz w:val="24"/>
        </w:rPr>
      </w:pPr>
      <w:r>
        <w:rPr>
          <w:sz w:val="24"/>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2"/>
        <w:wordWrap w:val="0"/>
        <w:spacing w:before="360"/>
        <w:rPr>
          <w:sz w:val="28"/>
          <w:szCs w:val="28"/>
        </w:rPr>
      </w:pPr>
      <w:bookmarkStart w:id="5" w:name="_Toc19999"/>
      <w:bookmarkStart w:id="6" w:name="_Toc196119658"/>
      <w:r>
        <w:rPr>
          <w:sz w:val="28"/>
          <w:szCs w:val="28"/>
        </w:rPr>
        <w:t>2. 评审标准</w:t>
      </w:r>
      <w:bookmarkEnd w:id="5"/>
      <w:bookmarkEnd w:id="6"/>
    </w:p>
    <w:p>
      <w:pPr>
        <w:pStyle w:val="2"/>
        <w:wordWrap w:val="0"/>
        <w:rPr>
          <w:szCs w:val="24"/>
        </w:rPr>
      </w:pPr>
      <w:bookmarkStart w:id="7" w:name="_Toc196119659"/>
      <w:bookmarkStart w:id="8" w:name="_Toc8946"/>
      <w:r>
        <w:rPr>
          <w:szCs w:val="24"/>
        </w:rPr>
        <w:t>2.1 初步评审标准</w:t>
      </w:r>
      <w:bookmarkEnd w:id="7"/>
      <w:bookmarkEnd w:id="8"/>
    </w:p>
    <w:p>
      <w:pPr>
        <w:wordWrap w:val="0"/>
        <w:spacing w:line="400" w:lineRule="atLeast"/>
        <w:ind w:firstLine="480" w:firstLineChars="200"/>
        <w:rPr>
          <w:sz w:val="24"/>
        </w:rPr>
      </w:pPr>
      <w:r>
        <w:rPr>
          <w:sz w:val="24"/>
        </w:rPr>
        <w:t>2.1.1 形式评审标准：见评标办法前附表。</w:t>
      </w:r>
    </w:p>
    <w:p>
      <w:pPr>
        <w:wordWrap w:val="0"/>
        <w:spacing w:line="400" w:lineRule="atLeast"/>
        <w:ind w:firstLine="480" w:firstLineChars="200"/>
        <w:rPr>
          <w:sz w:val="24"/>
        </w:rPr>
      </w:pPr>
      <w:r>
        <w:rPr>
          <w:sz w:val="24"/>
        </w:rPr>
        <w:t>2.1.2 资格评审标准：见评标办法前附表。</w:t>
      </w:r>
    </w:p>
    <w:p>
      <w:pPr>
        <w:wordWrap w:val="0"/>
        <w:spacing w:line="400" w:lineRule="atLeast"/>
        <w:ind w:firstLine="480" w:firstLineChars="200"/>
        <w:rPr>
          <w:sz w:val="24"/>
        </w:rPr>
      </w:pPr>
      <w:r>
        <w:rPr>
          <w:sz w:val="24"/>
        </w:rPr>
        <w:t>2.1.3 响应性评审标准：见评标办法前附表。</w:t>
      </w:r>
    </w:p>
    <w:p>
      <w:pPr>
        <w:pStyle w:val="2"/>
        <w:wordWrap w:val="0"/>
        <w:rPr>
          <w:szCs w:val="24"/>
        </w:rPr>
      </w:pPr>
      <w:bookmarkStart w:id="9" w:name="_Toc196119660"/>
      <w:bookmarkStart w:id="10" w:name="_Toc22583"/>
      <w:r>
        <w:rPr>
          <w:szCs w:val="24"/>
        </w:rPr>
        <w:t>2.2 分值构成与评分标准</w:t>
      </w:r>
      <w:bookmarkEnd w:id="9"/>
      <w:bookmarkEnd w:id="10"/>
    </w:p>
    <w:p>
      <w:pPr>
        <w:tabs>
          <w:tab w:val="left" w:pos="360"/>
        </w:tabs>
        <w:wordWrap w:val="0"/>
        <w:spacing w:line="400" w:lineRule="atLeast"/>
        <w:ind w:firstLine="480" w:firstLineChars="200"/>
        <w:rPr>
          <w:sz w:val="24"/>
        </w:rPr>
      </w:pPr>
      <w:r>
        <w:rPr>
          <w:sz w:val="24"/>
        </w:rPr>
        <w:t xml:space="preserve">2.2.1 </w:t>
      </w:r>
      <w:r>
        <w:rPr>
          <w:bCs/>
          <w:kern w:val="44"/>
          <w:sz w:val="24"/>
        </w:rPr>
        <w:t>第一个信封评分</w:t>
      </w:r>
      <w:r>
        <w:rPr>
          <w:sz w:val="24"/>
        </w:rPr>
        <w:t>分值构成</w:t>
      </w:r>
    </w:p>
    <w:p>
      <w:pPr>
        <w:wordWrap w:val="0"/>
        <w:spacing w:line="400" w:lineRule="atLeast"/>
        <w:ind w:firstLine="480" w:firstLineChars="200"/>
        <w:rPr>
          <w:sz w:val="24"/>
        </w:rPr>
      </w:pPr>
      <w:r>
        <w:rPr>
          <w:sz w:val="24"/>
        </w:rPr>
        <w:t>（1）施工组织设计：见评标办法前附表；</w:t>
      </w:r>
    </w:p>
    <w:p>
      <w:pPr>
        <w:wordWrap w:val="0"/>
        <w:spacing w:line="400" w:lineRule="atLeast"/>
        <w:ind w:firstLine="480" w:firstLineChars="200"/>
        <w:rPr>
          <w:sz w:val="24"/>
        </w:rPr>
      </w:pPr>
      <w:r>
        <w:rPr>
          <w:sz w:val="24"/>
        </w:rPr>
        <w:t>（2）主要人员：见评标办法前附表；</w:t>
      </w:r>
    </w:p>
    <w:p>
      <w:pPr>
        <w:wordWrap w:val="0"/>
        <w:spacing w:line="400" w:lineRule="atLeast"/>
        <w:ind w:firstLine="480" w:firstLineChars="200"/>
        <w:rPr>
          <w:sz w:val="24"/>
        </w:rPr>
      </w:pPr>
      <w:r>
        <w:rPr>
          <w:sz w:val="24"/>
        </w:rPr>
        <w:t>（3）其他评分因素：见评标办法前附表。</w:t>
      </w:r>
    </w:p>
    <w:p>
      <w:pPr>
        <w:wordWrap w:val="0"/>
        <w:spacing w:line="400" w:lineRule="atLeast"/>
        <w:ind w:firstLine="480" w:firstLineChars="200"/>
        <w:rPr>
          <w:sz w:val="24"/>
        </w:rPr>
      </w:pPr>
      <w:r>
        <w:rPr>
          <w:sz w:val="24"/>
        </w:rPr>
        <w:t xml:space="preserve">2.2.2 </w:t>
      </w:r>
      <w:r>
        <w:rPr>
          <w:bCs/>
          <w:kern w:val="44"/>
          <w:sz w:val="24"/>
        </w:rPr>
        <w:t>第一个信封评分</w:t>
      </w:r>
      <w:r>
        <w:rPr>
          <w:sz w:val="24"/>
        </w:rPr>
        <w:t>评分标准</w:t>
      </w:r>
    </w:p>
    <w:p>
      <w:pPr>
        <w:wordWrap w:val="0"/>
        <w:spacing w:line="400" w:lineRule="atLeast"/>
        <w:ind w:firstLine="480" w:firstLineChars="200"/>
        <w:rPr>
          <w:sz w:val="24"/>
        </w:rPr>
      </w:pPr>
      <w:r>
        <w:rPr>
          <w:sz w:val="24"/>
        </w:rPr>
        <w:t>（1）施工组织设计评分标准：见评标办法前附表；</w:t>
      </w:r>
    </w:p>
    <w:p>
      <w:pPr>
        <w:wordWrap w:val="0"/>
        <w:spacing w:line="400" w:lineRule="atLeast"/>
        <w:ind w:firstLine="480" w:firstLineChars="200"/>
        <w:rPr>
          <w:sz w:val="24"/>
        </w:rPr>
      </w:pPr>
      <w:r>
        <w:rPr>
          <w:sz w:val="24"/>
        </w:rPr>
        <w:t>（2）主要人员评分标准：见评标办法前附表；</w:t>
      </w:r>
    </w:p>
    <w:p>
      <w:pPr>
        <w:wordWrap w:val="0"/>
        <w:spacing w:line="400" w:lineRule="atLeast"/>
        <w:ind w:firstLine="480" w:firstLineChars="200"/>
        <w:rPr>
          <w:sz w:val="24"/>
        </w:rPr>
      </w:pPr>
      <w:r>
        <w:rPr>
          <w:sz w:val="24"/>
        </w:rPr>
        <w:t>（3）其他因素评分标准：见评标办法前附表。</w:t>
      </w:r>
    </w:p>
    <w:p>
      <w:pPr>
        <w:wordWrap w:val="0"/>
        <w:spacing w:line="400" w:lineRule="atLeast"/>
        <w:ind w:firstLine="480" w:firstLineChars="200"/>
        <w:rPr>
          <w:rFonts w:eastAsia="隶书"/>
          <w:sz w:val="24"/>
        </w:rPr>
      </w:pPr>
      <w:r>
        <w:rPr>
          <w:sz w:val="24"/>
        </w:rPr>
        <w:t>2.2.3 第二个信封详细评审标准：见评标办法前附表。</w:t>
      </w:r>
    </w:p>
    <w:p>
      <w:pPr>
        <w:pStyle w:val="2"/>
        <w:wordWrap w:val="0"/>
        <w:spacing w:before="360"/>
        <w:rPr>
          <w:sz w:val="28"/>
          <w:szCs w:val="28"/>
        </w:rPr>
      </w:pPr>
      <w:bookmarkStart w:id="11" w:name="_Toc8093"/>
      <w:bookmarkStart w:id="12" w:name="_Toc196119661"/>
      <w:r>
        <w:rPr>
          <w:sz w:val="28"/>
          <w:szCs w:val="28"/>
        </w:rPr>
        <w:t>3. 评标程序</w:t>
      </w:r>
      <w:bookmarkEnd w:id="11"/>
      <w:bookmarkEnd w:id="12"/>
    </w:p>
    <w:p>
      <w:pPr>
        <w:pStyle w:val="2"/>
        <w:wordWrap w:val="0"/>
        <w:rPr>
          <w:szCs w:val="24"/>
        </w:rPr>
      </w:pPr>
      <w:bookmarkStart w:id="13" w:name="_Toc19577"/>
      <w:bookmarkStart w:id="14" w:name="_Toc196119662"/>
      <w:r>
        <w:rPr>
          <w:szCs w:val="24"/>
        </w:rPr>
        <w:t>3.1第一个信封初步评审</w:t>
      </w:r>
      <w:bookmarkEnd w:id="13"/>
      <w:bookmarkEnd w:id="14"/>
    </w:p>
    <w:p>
      <w:pPr>
        <w:wordWrap w:val="0"/>
        <w:spacing w:line="400" w:lineRule="atLeast"/>
        <w:ind w:firstLine="480" w:firstLineChars="200"/>
        <w:rPr>
          <w:sz w:val="24"/>
        </w:rPr>
      </w:pPr>
      <w:r>
        <w:rPr>
          <w:sz w:val="24"/>
        </w:rPr>
        <w:t>3.1.1 评标委员会可以要求投标人提交第二章</w:t>
      </w:r>
      <w:r>
        <w:rPr>
          <w:rFonts w:hint="eastAsia" w:ascii="宋体" w:hAnsi="宋体" w:cs="宋体"/>
          <w:sz w:val="24"/>
        </w:rPr>
        <w:t>“</w:t>
      </w:r>
      <w:r>
        <w:rPr>
          <w:sz w:val="24"/>
        </w:rPr>
        <w:t>投标人须知</w:t>
      </w:r>
      <w:r>
        <w:rPr>
          <w:rFonts w:hint="eastAsia" w:ascii="宋体" w:hAnsi="宋体" w:cs="宋体"/>
          <w:sz w:val="24"/>
        </w:rPr>
        <w:t>”</w:t>
      </w:r>
      <w:r>
        <w:rPr>
          <w:sz w:val="24"/>
        </w:rPr>
        <w:t>第3.5.1项至第3.5.6项规定的有关证明和证件的原件，以便核验。评标委员会依据本章第2.1款规定的标准对投标文件第一个信封（商务及技术文件）进行初步评审。有一项不符合评审标准的，评标委员会应否决其投标。</w:t>
      </w:r>
    </w:p>
    <w:p>
      <w:pPr>
        <w:wordWrap w:val="0"/>
        <w:spacing w:line="400" w:lineRule="atLeast"/>
        <w:ind w:firstLine="480" w:firstLineChars="200"/>
        <w:rPr>
          <w:sz w:val="24"/>
        </w:rPr>
      </w:pPr>
      <w:r>
        <w:rPr>
          <w:sz w:val="24"/>
        </w:rPr>
        <w:t>3.1.1 评标委员会依据本章第2.1.1项、第2.1.3项规定的评审标准对投标文件第一个信封（商务及技术文件）进行初步评审。有一项不符合评审标准的，评标委员会应否决其投标。</w:t>
      </w:r>
    </w:p>
    <w:p>
      <w:pPr>
        <w:pStyle w:val="2"/>
        <w:wordWrap w:val="0"/>
        <w:rPr>
          <w:szCs w:val="24"/>
        </w:rPr>
      </w:pPr>
      <w:bookmarkStart w:id="15" w:name="_Toc21166"/>
      <w:bookmarkStart w:id="16" w:name="_Toc196119663"/>
      <w:r>
        <w:rPr>
          <w:szCs w:val="24"/>
        </w:rPr>
        <w:t>3.2 第一个信封详细评审</w:t>
      </w:r>
      <w:bookmarkEnd w:id="15"/>
      <w:bookmarkEnd w:id="16"/>
    </w:p>
    <w:p>
      <w:pPr>
        <w:wordWrap w:val="0"/>
        <w:spacing w:line="400" w:lineRule="atLeast"/>
        <w:ind w:firstLine="480" w:firstLineChars="200"/>
        <w:rPr>
          <w:sz w:val="24"/>
        </w:rPr>
      </w:pPr>
      <w:r>
        <w:rPr>
          <w:sz w:val="24"/>
        </w:rPr>
        <w:t>3.2.1 评标委员会按本章第2.2款规定的量化因素和分值进行打分，并计算出各投标人的商务和技术得分。</w:t>
      </w:r>
    </w:p>
    <w:p>
      <w:pPr>
        <w:wordWrap w:val="0"/>
        <w:spacing w:line="400" w:lineRule="atLeast"/>
        <w:ind w:firstLine="480" w:firstLineChars="200"/>
        <w:rPr>
          <w:sz w:val="24"/>
        </w:rPr>
      </w:pPr>
      <w:r>
        <w:rPr>
          <w:sz w:val="24"/>
        </w:rPr>
        <w:t>（1）按本章第2.2.2项（1）目规定的评审因素和分值对施工组织设计部分计算出得分A；</w:t>
      </w:r>
    </w:p>
    <w:p>
      <w:pPr>
        <w:wordWrap w:val="0"/>
        <w:spacing w:line="400" w:lineRule="atLeast"/>
        <w:ind w:firstLine="480" w:firstLineChars="200"/>
        <w:rPr>
          <w:sz w:val="24"/>
        </w:rPr>
      </w:pPr>
      <w:r>
        <w:rPr>
          <w:sz w:val="24"/>
        </w:rPr>
        <w:t>（2）按本章第2.2.2项（2）目规定的评审因素和分值对主要人员部分计算出得分B；</w:t>
      </w:r>
    </w:p>
    <w:p>
      <w:pPr>
        <w:wordWrap w:val="0"/>
        <w:spacing w:line="400" w:lineRule="atLeast"/>
        <w:ind w:firstLine="480" w:firstLineChars="200"/>
        <w:rPr>
          <w:sz w:val="24"/>
        </w:rPr>
      </w:pPr>
      <w:r>
        <w:rPr>
          <w:sz w:val="24"/>
        </w:rPr>
        <w:t>（3）按本章第2.2.2项（3）目规定的评审因素和分值对其他部分计算出得分C。</w:t>
      </w:r>
    </w:p>
    <w:p>
      <w:pPr>
        <w:wordWrap w:val="0"/>
        <w:spacing w:line="400" w:lineRule="atLeast"/>
        <w:ind w:firstLine="480" w:firstLineChars="200"/>
        <w:rPr>
          <w:sz w:val="24"/>
        </w:rPr>
      </w:pPr>
      <w:r>
        <w:rPr>
          <w:sz w:val="24"/>
        </w:rPr>
        <w:t>3.2.2 投标人的商务和技术得分分值计算保留小数点后两位，小数点后第三位</w:t>
      </w:r>
      <w:r>
        <w:rPr>
          <w:rFonts w:hint="eastAsia" w:ascii="宋体" w:hAnsi="宋体" w:cs="宋体"/>
          <w:sz w:val="24"/>
        </w:rPr>
        <w:t>“</w:t>
      </w:r>
      <w:r>
        <w:rPr>
          <w:sz w:val="24"/>
        </w:rPr>
        <w:t>四舍五入</w:t>
      </w:r>
      <w:r>
        <w:rPr>
          <w:rFonts w:hint="eastAsia" w:ascii="宋体" w:hAnsi="宋体" w:cs="宋体"/>
          <w:sz w:val="24"/>
        </w:rPr>
        <w:t>”</w:t>
      </w:r>
      <w:r>
        <w:rPr>
          <w:sz w:val="24"/>
        </w:rPr>
        <w:t>。</w:t>
      </w:r>
    </w:p>
    <w:p>
      <w:pPr>
        <w:wordWrap w:val="0"/>
        <w:spacing w:line="400" w:lineRule="atLeast"/>
        <w:ind w:firstLine="480" w:firstLineChars="200"/>
        <w:rPr>
          <w:sz w:val="24"/>
        </w:rPr>
      </w:pPr>
      <w:r>
        <w:rPr>
          <w:sz w:val="24"/>
        </w:rPr>
        <w:t>3.2.3 投标人的商务和技术得分=A+B+C。</w:t>
      </w:r>
    </w:p>
    <w:p>
      <w:pPr>
        <w:wordWrap w:val="0"/>
        <w:spacing w:line="400" w:lineRule="atLeast"/>
        <w:ind w:firstLine="480" w:firstLineChars="200"/>
        <w:rPr>
          <w:sz w:val="24"/>
        </w:rPr>
      </w:pPr>
      <w:r>
        <w:rPr>
          <w:sz w:val="24"/>
        </w:rPr>
        <w:t>3.2.4 评标委员会按照投标人的商务和技术得分由高到低排序，排名在评标办法前附表规定数量以内的投标人，其投标文件第一个信封（商务及技术文件）通过详细评审。</w:t>
      </w:r>
    </w:p>
    <w:p>
      <w:pPr>
        <w:wordWrap w:val="0"/>
        <w:spacing w:line="400" w:lineRule="atLeast"/>
        <w:ind w:firstLine="480" w:firstLineChars="200"/>
        <w:rPr>
          <w:sz w:val="24"/>
        </w:rPr>
      </w:pPr>
      <w:r>
        <w:rPr>
          <w:sz w:val="24"/>
        </w:rPr>
        <w:t>3.2.5 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pStyle w:val="2"/>
        <w:wordWrap w:val="0"/>
        <w:rPr>
          <w:szCs w:val="24"/>
        </w:rPr>
      </w:pPr>
      <w:bookmarkStart w:id="17" w:name="_Toc196119664"/>
      <w:bookmarkStart w:id="18" w:name="_Toc6113"/>
      <w:r>
        <w:rPr>
          <w:szCs w:val="24"/>
        </w:rPr>
        <w:t>3.3 第二个信封开标</w:t>
      </w:r>
      <w:bookmarkEnd w:id="17"/>
      <w:bookmarkEnd w:id="18"/>
    </w:p>
    <w:p>
      <w:pPr>
        <w:wordWrap w:val="0"/>
        <w:spacing w:line="400" w:lineRule="atLeast"/>
        <w:ind w:firstLine="480" w:firstLineChars="200"/>
        <w:rPr>
          <w:sz w:val="24"/>
        </w:rPr>
      </w:pPr>
      <w:r>
        <w:rPr>
          <w:sz w:val="24"/>
        </w:rPr>
        <w:t>第一个信封（商务及技术文件）评审结束后，招标人将按照第二章</w:t>
      </w:r>
      <w:r>
        <w:rPr>
          <w:rFonts w:hint="eastAsia" w:ascii="宋体" w:hAnsi="宋体" w:cs="宋体"/>
          <w:sz w:val="24"/>
        </w:rPr>
        <w:t>“</w:t>
      </w:r>
      <w:r>
        <w:rPr>
          <w:sz w:val="24"/>
        </w:rPr>
        <w:t>投标人须知</w:t>
      </w:r>
      <w:r>
        <w:rPr>
          <w:rFonts w:hint="eastAsia" w:ascii="宋体" w:hAnsi="宋体" w:cs="宋体"/>
          <w:sz w:val="24"/>
        </w:rPr>
        <w:t>”</w:t>
      </w:r>
      <w:r>
        <w:rPr>
          <w:sz w:val="24"/>
        </w:rPr>
        <w:t>第5.1款规定的时间和地点对通过投标文件第一个信封（商务及技术文件）评审的投标文件第二个信封（报价文件）进行开标。</w:t>
      </w:r>
    </w:p>
    <w:p>
      <w:pPr>
        <w:pStyle w:val="2"/>
        <w:wordWrap w:val="0"/>
        <w:rPr>
          <w:szCs w:val="24"/>
        </w:rPr>
      </w:pPr>
      <w:bookmarkStart w:id="19" w:name="_Toc196119665"/>
      <w:bookmarkStart w:id="20" w:name="_Toc1601"/>
      <w:r>
        <w:rPr>
          <w:szCs w:val="24"/>
        </w:rPr>
        <w:t>3.4 第二个信封初步评审</w:t>
      </w:r>
      <w:bookmarkEnd w:id="19"/>
      <w:bookmarkEnd w:id="20"/>
    </w:p>
    <w:p>
      <w:pPr>
        <w:wordWrap w:val="0"/>
        <w:spacing w:line="400" w:lineRule="atLeast"/>
        <w:ind w:firstLine="480" w:firstLineChars="200"/>
        <w:rPr>
          <w:sz w:val="24"/>
        </w:rPr>
      </w:pPr>
      <w:r>
        <w:rPr>
          <w:sz w:val="24"/>
        </w:rPr>
        <w:t>3.4.1 评标委员会依据本章第2.1.1项、第2.1.3项规定的评审标准对投标文件第二个信封（报价文件）进行初步评审。有一项不符合评审标准的，评标委员会应否决其投标。</w:t>
      </w:r>
    </w:p>
    <w:p>
      <w:pPr>
        <w:wordWrap w:val="0"/>
        <w:spacing w:line="400" w:lineRule="atLeast"/>
        <w:ind w:firstLine="480" w:firstLineChars="200"/>
        <w:rPr>
          <w:sz w:val="24"/>
        </w:rPr>
      </w:pPr>
      <w:r>
        <w:rPr>
          <w:sz w:val="24"/>
        </w:rPr>
        <w:t>3.4.2</w:t>
      </w:r>
      <w:r>
        <w:rPr>
          <w:vertAlign w:val="superscript"/>
        </w:rPr>
        <w:footnoteReference w:id="1"/>
      </w:r>
      <w:r>
        <w:rPr>
          <w:sz w:val="24"/>
        </w:rPr>
        <w:t xml:space="preserve"> 投标报价有算术错误的，评标委员会按以下原则对投标报价进行修正，修正的价格经投标人书面确认后具有约束力。投标人不接受修正价格的，评标委员会应否决其投标。</w:t>
      </w:r>
    </w:p>
    <w:p>
      <w:pPr>
        <w:wordWrap w:val="0"/>
        <w:spacing w:line="400" w:lineRule="atLeast"/>
        <w:ind w:firstLine="480" w:firstLineChars="200"/>
        <w:rPr>
          <w:sz w:val="24"/>
        </w:rPr>
      </w:pPr>
      <w:r>
        <w:rPr>
          <w:sz w:val="24"/>
        </w:rPr>
        <w:t>（1）投标文件中的大写金额与小写金额不一致的，以大写金额为准；</w:t>
      </w:r>
    </w:p>
    <w:p>
      <w:pPr>
        <w:wordWrap w:val="0"/>
        <w:spacing w:line="400" w:lineRule="atLeast"/>
        <w:ind w:firstLine="480" w:firstLineChars="200"/>
        <w:rPr>
          <w:sz w:val="24"/>
        </w:rPr>
      </w:pPr>
      <w:r>
        <w:rPr>
          <w:sz w:val="24"/>
        </w:rPr>
        <w:t>（2）总价金额与依据单价计算出的结果不一致的，以单价金额为准修正总价，但单价金额小数点有明显错误的除外;</w:t>
      </w:r>
    </w:p>
    <w:p>
      <w:pPr>
        <w:wordWrap w:val="0"/>
        <w:spacing w:line="400" w:lineRule="atLeast"/>
        <w:ind w:firstLine="480" w:firstLineChars="200"/>
        <w:rPr>
          <w:sz w:val="24"/>
        </w:rPr>
      </w:pPr>
      <w:r>
        <w:rPr>
          <w:sz w:val="24"/>
        </w:rPr>
        <w:t>（3）当单价与数量相乘不等于合价时，以单价计算为准，如果单价有明显的小数点位置差错，应以标出的合价为准，同时对单价予以修正；</w:t>
      </w:r>
    </w:p>
    <w:p>
      <w:pPr>
        <w:wordWrap w:val="0"/>
        <w:spacing w:line="400" w:lineRule="atLeast"/>
        <w:ind w:firstLine="480" w:firstLineChars="200"/>
        <w:rPr>
          <w:sz w:val="24"/>
        </w:rPr>
      </w:pPr>
      <w:r>
        <w:rPr>
          <w:sz w:val="24"/>
        </w:rPr>
        <w:t>（4）当各子目的合价累计不等于总价时，应以各子目合价累计数为准，修正总价。</w:t>
      </w:r>
    </w:p>
    <w:p>
      <w:pPr>
        <w:wordWrap w:val="0"/>
        <w:spacing w:line="400" w:lineRule="atLeast"/>
        <w:ind w:firstLine="480" w:firstLineChars="200"/>
        <w:rPr>
          <w:sz w:val="24"/>
        </w:rPr>
      </w:pPr>
      <w:r>
        <w:rPr>
          <w:sz w:val="24"/>
        </w:rPr>
        <w:t>3.4.3 工程量清单中的投标报价有其他错误的，评标委员会按以下原则对投标报价进行修正，修正的价格经投标人书面确认后具有约束力。投标人不接受修正价格的，评标委员会应否决其投标。</w:t>
      </w:r>
    </w:p>
    <w:p>
      <w:pPr>
        <w:wordWrap w:val="0"/>
        <w:spacing w:line="400" w:lineRule="atLeast"/>
        <w:ind w:firstLine="480" w:firstLineChars="200"/>
        <w:rPr>
          <w:sz w:val="24"/>
        </w:rPr>
      </w:pPr>
      <w:r>
        <w:rPr>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wordWrap w:val="0"/>
        <w:spacing w:line="400" w:lineRule="atLeast"/>
        <w:ind w:firstLine="480" w:firstLineChars="200"/>
        <w:rPr>
          <w:sz w:val="24"/>
        </w:rPr>
      </w:pPr>
      <w:r>
        <w:rPr>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wordWrap w:val="0"/>
        <w:spacing w:line="400" w:lineRule="atLeast"/>
        <w:ind w:firstLine="480" w:firstLineChars="200"/>
        <w:rPr>
          <w:sz w:val="24"/>
        </w:rPr>
      </w:pPr>
      <w:r>
        <w:rPr>
          <w:sz w:val="24"/>
        </w:rPr>
        <w:t>（3）当单价与数量的乘积与合价（金额）虽然一致，但投标人修改了该子目的工程数量，则其合价按招标人给定的工程数量乘以投标人所报单价予以修正。</w:t>
      </w:r>
    </w:p>
    <w:p>
      <w:pPr>
        <w:wordWrap w:val="0"/>
        <w:spacing w:line="400" w:lineRule="atLeast"/>
        <w:ind w:firstLine="480" w:firstLineChars="200"/>
        <w:rPr>
          <w:sz w:val="24"/>
        </w:rPr>
      </w:pPr>
      <w:r>
        <w:rPr>
          <w:sz w:val="24"/>
        </w:rPr>
        <w:t>3.4.4 修正后的最终投标报价若超过最高投标限价（如有），评标委员会应否决其投标。</w:t>
      </w:r>
    </w:p>
    <w:p>
      <w:pPr>
        <w:pStyle w:val="2"/>
        <w:wordWrap w:val="0"/>
        <w:rPr>
          <w:szCs w:val="24"/>
        </w:rPr>
      </w:pPr>
      <w:bookmarkStart w:id="21" w:name="_Toc28906"/>
      <w:bookmarkStart w:id="22" w:name="_Toc196119666"/>
      <w:r>
        <w:rPr>
          <w:szCs w:val="24"/>
        </w:rPr>
        <w:t>3.5 第二个信封详细评审</w:t>
      </w:r>
      <w:bookmarkEnd w:id="21"/>
      <w:bookmarkEnd w:id="22"/>
    </w:p>
    <w:p>
      <w:pPr>
        <w:wordWrap w:val="0"/>
        <w:spacing w:line="400" w:lineRule="atLeast"/>
        <w:ind w:firstLine="480" w:firstLineChars="200"/>
        <w:rPr>
          <w:sz w:val="24"/>
        </w:rPr>
      </w:pPr>
      <w:r>
        <w:rPr>
          <w:sz w:val="24"/>
        </w:rPr>
        <w:t>3.5.1 评标委员会按本章第2.2款规定的量化因素和标准进行价格折算，计算出评标价，并编制价格比较一览表。</w:t>
      </w:r>
    </w:p>
    <w:p>
      <w:pPr>
        <w:wordWrap w:val="0"/>
        <w:spacing w:line="400" w:lineRule="atLeast"/>
        <w:ind w:firstLine="480" w:firstLineChars="200"/>
        <w:rPr>
          <w:rFonts w:eastAsia="隶书"/>
          <w:sz w:val="24"/>
        </w:rPr>
      </w:pPr>
      <w:r>
        <w:rPr>
          <w:sz w:val="24"/>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2"/>
        <w:wordWrap w:val="0"/>
        <w:rPr>
          <w:szCs w:val="24"/>
        </w:rPr>
      </w:pPr>
      <w:bookmarkStart w:id="23" w:name="_Toc196119667"/>
      <w:bookmarkStart w:id="24" w:name="_Toc136"/>
      <w:r>
        <w:rPr>
          <w:szCs w:val="24"/>
        </w:rPr>
        <w:t>3.6 投标文件相关信息的核查</w:t>
      </w:r>
      <w:bookmarkEnd w:id="23"/>
      <w:bookmarkEnd w:id="24"/>
    </w:p>
    <w:p>
      <w:pPr>
        <w:wordWrap w:val="0"/>
        <w:spacing w:line="400" w:lineRule="atLeast"/>
        <w:ind w:firstLine="480" w:firstLineChars="200"/>
        <w:rPr>
          <w:sz w:val="24"/>
        </w:rPr>
      </w:pPr>
      <w:r>
        <w:rPr>
          <w:sz w:val="24"/>
        </w:rPr>
        <w:t>3.6.1 在评标过程中，评标委员会应查询交通运输主管部门</w:t>
      </w:r>
      <w:r>
        <w:rPr>
          <w:rFonts w:hint="eastAsia" w:ascii="宋体" w:hAnsi="宋体" w:cs="宋体"/>
          <w:sz w:val="24"/>
        </w:rPr>
        <w:t>“</w:t>
      </w:r>
      <w:r>
        <w:rPr>
          <w:sz w:val="24"/>
        </w:rPr>
        <w:t>公路建设市场信用信息管理系统</w:t>
      </w:r>
      <w:r>
        <w:rPr>
          <w:rFonts w:hint="eastAsia" w:ascii="宋体" w:hAnsi="宋体" w:cs="宋体"/>
          <w:sz w:val="24"/>
        </w:rPr>
        <w:t>”</w:t>
      </w:r>
      <w:r>
        <w:rPr>
          <w:sz w:val="24"/>
        </w:rPr>
        <w:t>，对投标人的资质、业绩、主要人员资历和目前在岗情况、信用等级等信息进行核实。若投标文件载明的信息与交通运输主管部门</w:t>
      </w:r>
      <w:r>
        <w:rPr>
          <w:rFonts w:hint="eastAsia" w:ascii="宋体" w:hAnsi="宋体" w:cs="宋体"/>
          <w:sz w:val="24"/>
        </w:rPr>
        <w:t>“</w:t>
      </w:r>
      <w:r>
        <w:rPr>
          <w:sz w:val="24"/>
        </w:rPr>
        <w:t>公路建设市场信用信息管理系统</w:t>
      </w:r>
      <w:r>
        <w:rPr>
          <w:rFonts w:hint="eastAsia" w:ascii="宋体" w:hAnsi="宋体" w:cs="宋体"/>
          <w:sz w:val="24"/>
        </w:rPr>
        <w:t>”</w:t>
      </w:r>
      <w:r>
        <w:rPr>
          <w:sz w:val="24"/>
        </w:rPr>
        <w:t>发布的信息不符，使得投标人的资格条件不符合招标文件规定的，评标委员会应否决其投标。</w:t>
      </w:r>
    </w:p>
    <w:p>
      <w:pPr>
        <w:wordWrap w:val="0"/>
        <w:spacing w:line="400" w:lineRule="atLeast"/>
        <w:ind w:firstLine="480" w:firstLineChars="200"/>
        <w:rPr>
          <w:sz w:val="24"/>
        </w:rPr>
      </w:pPr>
      <w:r>
        <w:rPr>
          <w:sz w:val="24"/>
        </w:rPr>
        <w:t>3.6.2 评标委员会应对在评标过程中发现的投标人与投标人之间、投标人与招标人之间存在的串通投标的情形进行评审和认定。投标人存在串通投标、弄虚作假、行贿等违法行为的，评标委员会应否决其投标。</w:t>
      </w:r>
    </w:p>
    <w:p>
      <w:pPr>
        <w:wordWrap w:val="0"/>
        <w:spacing w:line="400" w:lineRule="atLeast"/>
        <w:ind w:firstLine="480" w:firstLineChars="200"/>
        <w:rPr>
          <w:sz w:val="24"/>
        </w:rPr>
      </w:pPr>
      <w:r>
        <w:rPr>
          <w:sz w:val="24"/>
        </w:rPr>
        <w:t>（1）有下列情形之一的，属于投标人相互串通投标：</w:t>
      </w:r>
    </w:p>
    <w:p>
      <w:pPr>
        <w:wordWrap w:val="0"/>
        <w:spacing w:line="400" w:lineRule="atLeast"/>
        <w:ind w:firstLine="480" w:firstLineChars="200"/>
        <w:rPr>
          <w:sz w:val="24"/>
        </w:rPr>
      </w:pPr>
      <w:r>
        <w:rPr>
          <w:sz w:val="24"/>
        </w:rPr>
        <w:t>a.投标人之间协商投标报价等投标文件的实质性内容；</w:t>
      </w:r>
    </w:p>
    <w:p>
      <w:pPr>
        <w:wordWrap w:val="0"/>
        <w:spacing w:line="400" w:lineRule="atLeast"/>
        <w:ind w:firstLine="480" w:firstLineChars="200"/>
        <w:rPr>
          <w:sz w:val="24"/>
        </w:rPr>
      </w:pPr>
      <w:r>
        <w:rPr>
          <w:sz w:val="24"/>
        </w:rPr>
        <w:t>b.投标人之间约定中标人；</w:t>
      </w:r>
    </w:p>
    <w:p>
      <w:pPr>
        <w:wordWrap w:val="0"/>
        <w:spacing w:line="400" w:lineRule="atLeast"/>
        <w:ind w:firstLine="480" w:firstLineChars="200"/>
        <w:rPr>
          <w:sz w:val="24"/>
        </w:rPr>
      </w:pPr>
      <w:r>
        <w:rPr>
          <w:sz w:val="24"/>
        </w:rPr>
        <w:t>c.投标人之间约定部分投标人放弃投标或中标；</w:t>
      </w:r>
    </w:p>
    <w:p>
      <w:pPr>
        <w:wordWrap w:val="0"/>
        <w:spacing w:line="400" w:lineRule="atLeast"/>
        <w:ind w:firstLine="480" w:firstLineChars="200"/>
        <w:rPr>
          <w:sz w:val="24"/>
        </w:rPr>
      </w:pPr>
      <w:r>
        <w:rPr>
          <w:sz w:val="24"/>
        </w:rPr>
        <w:t>d.属于同一集团、协会、商会等组织成员的投标人按照该组织要求协同投标；</w:t>
      </w:r>
    </w:p>
    <w:p>
      <w:pPr>
        <w:wordWrap w:val="0"/>
        <w:spacing w:line="400" w:lineRule="atLeast"/>
        <w:ind w:firstLine="480" w:firstLineChars="200"/>
        <w:rPr>
          <w:sz w:val="24"/>
        </w:rPr>
      </w:pPr>
      <w:r>
        <w:rPr>
          <w:sz w:val="24"/>
        </w:rPr>
        <w:t>e.投标人之间为谋取中标或排斥特定投标人而采取的其他联合行动。</w:t>
      </w:r>
    </w:p>
    <w:p>
      <w:pPr>
        <w:wordWrap w:val="0"/>
        <w:spacing w:line="400" w:lineRule="atLeast"/>
        <w:ind w:firstLine="480" w:firstLineChars="200"/>
        <w:rPr>
          <w:sz w:val="24"/>
        </w:rPr>
      </w:pPr>
      <w:r>
        <w:rPr>
          <w:sz w:val="24"/>
        </w:rPr>
        <w:t>（2）有下列情形之一的，视为投标人相互串通投标：</w:t>
      </w:r>
    </w:p>
    <w:p>
      <w:pPr>
        <w:wordWrap w:val="0"/>
        <w:spacing w:line="400" w:lineRule="atLeast"/>
        <w:ind w:firstLine="480" w:firstLineChars="200"/>
        <w:rPr>
          <w:sz w:val="24"/>
        </w:rPr>
      </w:pPr>
      <w:r>
        <w:rPr>
          <w:sz w:val="24"/>
        </w:rPr>
        <w:t>a.不同投标人的投标文件由同一单位或个人编制；</w:t>
      </w:r>
    </w:p>
    <w:p>
      <w:pPr>
        <w:wordWrap w:val="0"/>
        <w:spacing w:line="400" w:lineRule="atLeast"/>
        <w:ind w:firstLine="480" w:firstLineChars="200"/>
        <w:rPr>
          <w:sz w:val="24"/>
        </w:rPr>
      </w:pPr>
      <w:r>
        <w:rPr>
          <w:sz w:val="24"/>
        </w:rPr>
        <w:t>b.不同投标人委托同一单位或个人办理投标事宜；</w:t>
      </w:r>
    </w:p>
    <w:p>
      <w:pPr>
        <w:wordWrap w:val="0"/>
        <w:spacing w:line="400" w:lineRule="atLeast"/>
        <w:ind w:firstLine="480" w:firstLineChars="200"/>
        <w:rPr>
          <w:sz w:val="24"/>
        </w:rPr>
      </w:pPr>
      <w:r>
        <w:rPr>
          <w:sz w:val="24"/>
        </w:rPr>
        <w:t>c.不同投标人的投标文件载明的项目管理成员为同一人；</w:t>
      </w:r>
    </w:p>
    <w:p>
      <w:pPr>
        <w:wordWrap w:val="0"/>
        <w:spacing w:line="400" w:lineRule="atLeast"/>
        <w:ind w:firstLine="480" w:firstLineChars="200"/>
        <w:rPr>
          <w:sz w:val="24"/>
        </w:rPr>
      </w:pPr>
      <w:r>
        <w:rPr>
          <w:sz w:val="24"/>
        </w:rPr>
        <w:t>d.不同投标人的投标文件异常一致或投标报价呈规律性差异；</w:t>
      </w:r>
    </w:p>
    <w:p>
      <w:pPr>
        <w:wordWrap w:val="0"/>
        <w:spacing w:line="400" w:lineRule="atLeast"/>
        <w:ind w:firstLine="480" w:firstLineChars="200"/>
        <w:rPr>
          <w:sz w:val="24"/>
        </w:rPr>
      </w:pPr>
      <w:r>
        <w:rPr>
          <w:sz w:val="24"/>
        </w:rPr>
        <w:t>e.不同投标人的投标文件相互混装；</w:t>
      </w:r>
    </w:p>
    <w:p>
      <w:pPr>
        <w:wordWrap w:val="0"/>
        <w:spacing w:line="400" w:lineRule="atLeast"/>
        <w:ind w:firstLine="480" w:firstLineChars="200"/>
        <w:rPr>
          <w:sz w:val="24"/>
        </w:rPr>
      </w:pPr>
      <w:r>
        <w:rPr>
          <w:sz w:val="24"/>
        </w:rPr>
        <w:t>f.不同投标人的投标保证金从同一单位或个人的账户转出。</w:t>
      </w:r>
    </w:p>
    <w:p>
      <w:pPr>
        <w:wordWrap w:val="0"/>
        <w:spacing w:line="400" w:lineRule="atLeast"/>
        <w:ind w:firstLine="480" w:firstLineChars="200"/>
        <w:rPr>
          <w:sz w:val="24"/>
        </w:rPr>
      </w:pPr>
      <w:r>
        <w:rPr>
          <w:sz w:val="24"/>
        </w:rPr>
        <w:t>（3）有下列情形之一的，属于招标人与投标人串通投标：</w:t>
      </w:r>
    </w:p>
    <w:p>
      <w:pPr>
        <w:wordWrap w:val="0"/>
        <w:spacing w:line="400" w:lineRule="atLeast"/>
        <w:ind w:firstLine="480" w:firstLineChars="200"/>
        <w:rPr>
          <w:sz w:val="24"/>
        </w:rPr>
      </w:pPr>
      <w:r>
        <w:rPr>
          <w:sz w:val="24"/>
        </w:rPr>
        <w:t>a.招标人在开标前开启投标文件并将有关信息泄露给其他投标人;</w:t>
      </w:r>
    </w:p>
    <w:p>
      <w:pPr>
        <w:wordWrap w:val="0"/>
        <w:spacing w:line="400" w:lineRule="atLeast"/>
        <w:ind w:firstLine="480" w:firstLineChars="200"/>
        <w:rPr>
          <w:sz w:val="24"/>
        </w:rPr>
      </w:pPr>
      <w:r>
        <w:rPr>
          <w:sz w:val="24"/>
        </w:rPr>
        <w:t>b.招标人直接或间接向投标人泄露标底、评标委员会成员等信息；</w:t>
      </w:r>
    </w:p>
    <w:p>
      <w:pPr>
        <w:wordWrap w:val="0"/>
        <w:spacing w:line="400" w:lineRule="atLeast"/>
        <w:ind w:firstLine="480" w:firstLineChars="200"/>
        <w:rPr>
          <w:sz w:val="24"/>
        </w:rPr>
      </w:pPr>
      <w:r>
        <w:rPr>
          <w:sz w:val="24"/>
        </w:rPr>
        <w:t>c.招标人明示或暗示投标人压低或抬高投标报价；</w:t>
      </w:r>
    </w:p>
    <w:p>
      <w:pPr>
        <w:wordWrap w:val="0"/>
        <w:spacing w:line="400" w:lineRule="atLeast"/>
        <w:ind w:firstLine="480" w:firstLineChars="200"/>
        <w:rPr>
          <w:sz w:val="24"/>
        </w:rPr>
      </w:pPr>
      <w:r>
        <w:rPr>
          <w:sz w:val="24"/>
        </w:rPr>
        <w:t>d.招标人授意投标人撤换、修改投标文件；</w:t>
      </w:r>
    </w:p>
    <w:p>
      <w:pPr>
        <w:wordWrap w:val="0"/>
        <w:spacing w:line="400" w:lineRule="atLeast"/>
        <w:ind w:firstLine="480" w:firstLineChars="200"/>
        <w:rPr>
          <w:sz w:val="24"/>
        </w:rPr>
      </w:pPr>
      <w:r>
        <w:rPr>
          <w:sz w:val="24"/>
        </w:rPr>
        <w:t>e.招标人明示或暗示投标人为特定投标人中标提供方便；</w:t>
      </w:r>
    </w:p>
    <w:p>
      <w:pPr>
        <w:wordWrap w:val="0"/>
        <w:spacing w:line="400" w:lineRule="atLeast"/>
        <w:ind w:firstLine="480" w:firstLineChars="200"/>
        <w:rPr>
          <w:sz w:val="24"/>
        </w:rPr>
      </w:pPr>
      <w:r>
        <w:rPr>
          <w:sz w:val="24"/>
        </w:rPr>
        <w:t>f.招标人与投标人为谋求特定投标人中标而采取的其他串通行为。</w:t>
      </w:r>
    </w:p>
    <w:p>
      <w:pPr>
        <w:wordWrap w:val="0"/>
        <w:spacing w:line="400" w:lineRule="atLeast"/>
        <w:ind w:firstLine="480" w:firstLineChars="200"/>
        <w:rPr>
          <w:sz w:val="24"/>
        </w:rPr>
      </w:pPr>
      <w:r>
        <w:rPr>
          <w:sz w:val="24"/>
        </w:rPr>
        <w:t>（4）投标人有下列情形之一的，属于弄虚作假的行为：</w:t>
      </w:r>
    </w:p>
    <w:p>
      <w:pPr>
        <w:wordWrap w:val="0"/>
        <w:spacing w:line="400" w:lineRule="atLeast"/>
        <w:ind w:firstLine="480" w:firstLineChars="200"/>
        <w:rPr>
          <w:sz w:val="24"/>
        </w:rPr>
      </w:pPr>
      <w:r>
        <w:rPr>
          <w:sz w:val="24"/>
        </w:rPr>
        <w:t>a.使用通过受让或租借等方式获取的资格、资质证书投标；</w:t>
      </w:r>
    </w:p>
    <w:p>
      <w:pPr>
        <w:wordWrap w:val="0"/>
        <w:spacing w:line="400" w:lineRule="atLeast"/>
        <w:ind w:firstLine="480" w:firstLineChars="200"/>
        <w:rPr>
          <w:sz w:val="24"/>
        </w:rPr>
      </w:pPr>
      <w:r>
        <w:rPr>
          <w:sz w:val="24"/>
        </w:rPr>
        <w:t>b.使用伪造、变造的许可证件；</w:t>
      </w:r>
    </w:p>
    <w:p>
      <w:pPr>
        <w:wordWrap w:val="0"/>
        <w:spacing w:line="400" w:lineRule="atLeast"/>
        <w:ind w:firstLine="480" w:firstLineChars="200"/>
        <w:rPr>
          <w:sz w:val="24"/>
        </w:rPr>
      </w:pPr>
      <w:r>
        <w:rPr>
          <w:sz w:val="24"/>
        </w:rPr>
        <w:t>c.提供虚假的财务状况或业绩；</w:t>
      </w:r>
    </w:p>
    <w:p>
      <w:pPr>
        <w:wordWrap w:val="0"/>
        <w:spacing w:line="400" w:lineRule="atLeast"/>
        <w:ind w:firstLine="480" w:firstLineChars="200"/>
        <w:rPr>
          <w:sz w:val="24"/>
        </w:rPr>
      </w:pPr>
      <w:r>
        <w:rPr>
          <w:sz w:val="24"/>
        </w:rPr>
        <w:t>d.提供虚假的项目负责人或主要技术人员简历、劳动关系证明；</w:t>
      </w:r>
    </w:p>
    <w:p>
      <w:pPr>
        <w:wordWrap w:val="0"/>
        <w:spacing w:line="400" w:lineRule="atLeast"/>
        <w:ind w:firstLine="480" w:firstLineChars="200"/>
        <w:rPr>
          <w:sz w:val="24"/>
        </w:rPr>
      </w:pPr>
      <w:r>
        <w:rPr>
          <w:sz w:val="24"/>
        </w:rPr>
        <w:t>e.提供虚假的信用状况；</w:t>
      </w:r>
    </w:p>
    <w:p>
      <w:pPr>
        <w:wordWrap w:val="0"/>
        <w:spacing w:line="400" w:lineRule="atLeast"/>
        <w:ind w:firstLine="480" w:firstLineChars="200"/>
        <w:rPr>
          <w:rFonts w:eastAsia="隶书"/>
          <w:sz w:val="24"/>
        </w:rPr>
      </w:pPr>
      <w:r>
        <w:rPr>
          <w:sz w:val="24"/>
        </w:rPr>
        <w:t>f.其他弄虚作假的行为。</w:t>
      </w:r>
    </w:p>
    <w:p>
      <w:pPr>
        <w:pStyle w:val="2"/>
        <w:wordWrap w:val="0"/>
        <w:spacing w:line="400" w:lineRule="atLeast"/>
        <w:rPr>
          <w:szCs w:val="24"/>
        </w:rPr>
      </w:pPr>
      <w:bookmarkStart w:id="25" w:name="_Toc20497"/>
      <w:bookmarkStart w:id="26" w:name="_Toc196119668"/>
      <w:r>
        <w:rPr>
          <w:szCs w:val="24"/>
        </w:rPr>
        <w:t>3.7 投标文件的澄清和说明</w:t>
      </w:r>
      <w:bookmarkEnd w:id="25"/>
      <w:bookmarkEnd w:id="26"/>
    </w:p>
    <w:p>
      <w:pPr>
        <w:wordWrap w:val="0"/>
        <w:spacing w:line="400" w:lineRule="atLeast"/>
        <w:ind w:firstLine="480" w:firstLineChars="200"/>
        <w:rPr>
          <w:sz w:val="24"/>
        </w:rPr>
      </w:pPr>
      <w:r>
        <w:rPr>
          <w:sz w:val="24"/>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wordWrap w:val="0"/>
        <w:spacing w:line="400" w:lineRule="atLeast"/>
        <w:ind w:firstLine="480" w:firstLineChars="200"/>
        <w:rPr>
          <w:sz w:val="24"/>
        </w:rPr>
      </w:pPr>
      <w:r>
        <w:rPr>
          <w:sz w:val="24"/>
        </w:rPr>
        <w:t>3.7.2 澄清和说明不得超出投标文件的范围或改变投标文件的实质性内容（算术性错误的修正除外）。投标人的书面澄清、说明属于投标文件的组成部分。</w:t>
      </w:r>
    </w:p>
    <w:p>
      <w:pPr>
        <w:wordWrap w:val="0"/>
        <w:spacing w:line="400" w:lineRule="atLeast"/>
        <w:ind w:firstLine="480" w:firstLineChars="200"/>
        <w:rPr>
          <w:sz w:val="24"/>
        </w:rPr>
      </w:pPr>
      <w:r>
        <w:rPr>
          <w:sz w:val="24"/>
        </w:rPr>
        <w:t>3.7.3 评标委员会不得暗示或诱导投标人作出澄清、说明，对投标人提交的澄清、说明有疑问的，可以要求投标人进一步澄清或说明，直至满足评标委员会的要求。</w:t>
      </w:r>
    </w:p>
    <w:p>
      <w:pPr>
        <w:wordWrap w:val="0"/>
        <w:spacing w:line="400" w:lineRule="atLeast"/>
        <w:ind w:firstLine="480" w:firstLineChars="200"/>
        <w:rPr>
          <w:sz w:val="24"/>
        </w:rPr>
      </w:pPr>
      <w:r>
        <w:rPr>
          <w:sz w:val="24"/>
        </w:rPr>
        <w:t>3.7.4 凡超出招标文件规定的或给发包人带来未曾要求的利益的变化、偏差或其他因素在评标时不予考虑。</w:t>
      </w:r>
    </w:p>
    <w:p>
      <w:pPr>
        <w:pStyle w:val="2"/>
        <w:wordWrap w:val="0"/>
        <w:spacing w:line="400" w:lineRule="atLeast"/>
        <w:rPr>
          <w:szCs w:val="24"/>
        </w:rPr>
      </w:pPr>
      <w:bookmarkStart w:id="27" w:name="_Toc196119669"/>
      <w:bookmarkStart w:id="28" w:name="_Toc24252"/>
      <w:r>
        <w:rPr>
          <w:szCs w:val="24"/>
        </w:rPr>
        <w:t>3.8 不得否决投标的情形</w:t>
      </w:r>
      <w:bookmarkEnd w:id="27"/>
      <w:bookmarkEnd w:id="28"/>
    </w:p>
    <w:p>
      <w:pPr>
        <w:wordWrap w:val="0"/>
        <w:spacing w:line="400" w:lineRule="atLeast"/>
        <w:ind w:firstLine="480" w:firstLineChars="200"/>
        <w:rPr>
          <w:rFonts w:eastAsia="隶书"/>
          <w:sz w:val="24"/>
        </w:rPr>
      </w:pPr>
      <w:r>
        <w:rPr>
          <w:sz w:val="24"/>
        </w:rPr>
        <w:t>投标文件存在第二章</w:t>
      </w:r>
      <w:r>
        <w:rPr>
          <w:rFonts w:hint="eastAsia" w:ascii="宋体" w:hAnsi="宋体" w:cs="宋体"/>
          <w:sz w:val="24"/>
        </w:rPr>
        <w:t>“</w:t>
      </w:r>
      <w:r>
        <w:rPr>
          <w:sz w:val="24"/>
        </w:rPr>
        <w:t>投标人须知</w:t>
      </w:r>
      <w:r>
        <w:rPr>
          <w:rFonts w:hint="eastAsia" w:ascii="宋体" w:hAnsi="宋体" w:cs="宋体"/>
          <w:sz w:val="24"/>
        </w:rPr>
        <w:t>”</w:t>
      </w:r>
      <w:r>
        <w:rPr>
          <w:sz w:val="24"/>
        </w:rPr>
        <w:t>第1.12.3项所列情形的，均视为细微偏差，评标委员会不得否决投标人的投标，应按照第二章</w:t>
      </w:r>
      <w:r>
        <w:rPr>
          <w:rFonts w:hint="eastAsia" w:ascii="宋体" w:hAnsi="宋体" w:cs="宋体"/>
          <w:sz w:val="24"/>
        </w:rPr>
        <w:t>“</w:t>
      </w:r>
      <w:r>
        <w:rPr>
          <w:sz w:val="24"/>
        </w:rPr>
        <w:t>投标人须知</w:t>
      </w:r>
      <w:r>
        <w:rPr>
          <w:rFonts w:hint="eastAsia" w:ascii="宋体" w:hAnsi="宋体" w:cs="宋体"/>
          <w:sz w:val="24"/>
        </w:rPr>
        <w:t>”</w:t>
      </w:r>
      <w:r>
        <w:rPr>
          <w:sz w:val="24"/>
        </w:rPr>
        <w:t>第1.12.4项规定的原则处理。</w:t>
      </w:r>
    </w:p>
    <w:p>
      <w:pPr>
        <w:pStyle w:val="2"/>
        <w:wordWrap w:val="0"/>
        <w:rPr>
          <w:szCs w:val="24"/>
        </w:rPr>
      </w:pPr>
      <w:bookmarkStart w:id="29" w:name="_Toc4504"/>
      <w:bookmarkStart w:id="30" w:name="_Toc196119670"/>
      <w:r>
        <w:rPr>
          <w:szCs w:val="24"/>
        </w:rPr>
        <w:t>3.9 评标结果</w:t>
      </w:r>
      <w:bookmarkEnd w:id="29"/>
      <w:bookmarkEnd w:id="30"/>
    </w:p>
    <w:p>
      <w:pPr>
        <w:wordWrap w:val="0"/>
        <w:spacing w:line="400" w:lineRule="atLeast"/>
        <w:ind w:firstLine="480" w:firstLineChars="200"/>
        <w:rPr>
          <w:sz w:val="24"/>
        </w:rPr>
      </w:pPr>
      <w:r>
        <w:rPr>
          <w:sz w:val="24"/>
        </w:rPr>
        <w:t>3.9.1除第二章</w:t>
      </w:r>
      <w:r>
        <w:rPr>
          <w:rFonts w:hint="eastAsia" w:ascii="宋体" w:hAnsi="宋体" w:cs="宋体"/>
          <w:sz w:val="24"/>
        </w:rPr>
        <w:t>“</w:t>
      </w:r>
      <w:r>
        <w:rPr>
          <w:sz w:val="24"/>
        </w:rPr>
        <w:t>投标人须知</w:t>
      </w:r>
      <w:r>
        <w:rPr>
          <w:rFonts w:hint="eastAsia" w:ascii="宋体" w:hAnsi="宋体" w:cs="宋体"/>
          <w:sz w:val="24"/>
        </w:rPr>
        <w:t>”</w:t>
      </w:r>
      <w:r>
        <w:rPr>
          <w:sz w:val="24"/>
        </w:rPr>
        <w:t>前附表授权直接确定中标人外，评标委员会按照评标价由低到高的顺序推荐中标候选人，并标明排序。</w:t>
      </w:r>
    </w:p>
    <w:p>
      <w:r>
        <w:rPr>
          <w:sz w:val="24"/>
        </w:rPr>
        <w:t>3.9.2 评标委员会完成评标后，应向招标人提交评标报告</w:t>
      </w:r>
      <w:r>
        <w:rPr>
          <w:rFonts w:eastAsia="隶书"/>
          <w:sz w:val="24"/>
        </w:rPr>
        <w:t>。</w:t>
      </w:r>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
        <w:spacing w:line="320" w:lineRule="atLeast"/>
        <w:ind w:left="180" w:hanging="180" w:hangingChars="100"/>
        <w:rPr>
          <w:szCs w:val="18"/>
        </w:rPr>
      </w:pPr>
      <w:r>
        <w:rPr>
          <w:rStyle w:val="6"/>
          <w:szCs w:val="18"/>
        </w:rPr>
        <w:footnoteRef/>
      </w:r>
      <w:r>
        <w:rPr>
          <w:rFonts w:hint="eastAsia"/>
          <w:szCs w:val="18"/>
        </w:rPr>
        <w:t>“评标办法前附表”用于明确评标的方法、因素、标准和程序，是对评标办法正文的补充和细化，应对照评标办法正文中同一编号的条款一起阅读和理解。</w:t>
      </w:r>
      <w:r>
        <w:rPr>
          <w:rFonts w:hint="eastAsia" w:ascii="黑体" w:hAnsi="黑体" w:eastAsia="黑体"/>
          <w:szCs w:val="18"/>
        </w:rPr>
        <w:t>如前附表与正文不一致时，以前附表的规定为准</w:t>
      </w:r>
      <w:r>
        <w:rPr>
          <w:rFonts w:hint="eastAsia"/>
          <w:szCs w:val="18"/>
        </w:rPr>
        <w:t>。招标人应根据招标项目具体特点和实际需要，详细列明全部评审因素、标准，没有列明的因素和标准不得作为评标的依据。</w:t>
      </w:r>
    </w:p>
  </w:footnote>
  <w:footnote w:id="1">
    <w:p>
      <w:pPr>
        <w:pStyle w:val="3"/>
        <w:spacing w:line="320" w:lineRule="atLeast"/>
        <w:ind w:left="180" w:hanging="180" w:hangingChars="100"/>
        <w:rPr>
          <w:rStyle w:val="6"/>
          <w:szCs w:val="18"/>
        </w:rPr>
      </w:pPr>
      <w:r>
        <w:rPr>
          <w:rStyle w:val="6"/>
          <w:szCs w:val="18"/>
        </w:rPr>
        <w:footnoteRef/>
      </w:r>
      <w:r>
        <w:rPr>
          <w:rFonts w:hint="eastAsia"/>
          <w:szCs w:val="18"/>
        </w:rPr>
        <w:t xml:space="preserve"> 如</w:t>
      </w:r>
      <w:r>
        <w:rPr>
          <w:rStyle w:val="6"/>
          <w:szCs w:val="18"/>
          <w:vertAlign w:val="baseline"/>
        </w:rPr>
        <w:t>本项目招标</w:t>
      </w:r>
      <w:r>
        <w:rPr>
          <w:rStyle w:val="6"/>
          <w:rFonts w:hint="eastAsia"/>
          <w:szCs w:val="18"/>
          <w:vertAlign w:val="baseline"/>
        </w:rPr>
        <w:t>由投标人按照招标人提供的</w:t>
      </w:r>
      <w:r>
        <w:rPr>
          <w:szCs w:val="18"/>
        </w:rPr>
        <w:t>书面</w:t>
      </w:r>
      <w:r>
        <w:rPr>
          <w:rStyle w:val="6"/>
          <w:rFonts w:hint="eastAsia"/>
          <w:szCs w:val="18"/>
          <w:vertAlign w:val="baseline"/>
        </w:rPr>
        <w:t>工程量清单填写</w:t>
      </w:r>
      <w:r>
        <w:rPr>
          <w:rStyle w:val="6"/>
          <w:szCs w:val="18"/>
          <w:vertAlign w:val="baseline"/>
        </w:rPr>
        <w:t>本合同各工程子目的单价、合价和总额价</w:t>
      </w:r>
      <w:r>
        <w:rPr>
          <w:rStyle w:val="6"/>
          <w:rFonts w:hint="eastAsia"/>
          <w:szCs w:val="18"/>
          <w:vertAlign w:val="baseline"/>
        </w:rPr>
        <w:t>，则</w:t>
      </w:r>
      <w:r>
        <w:rPr>
          <w:rStyle w:val="6"/>
          <w:szCs w:val="18"/>
          <w:vertAlign w:val="baseline"/>
        </w:rPr>
        <w:t>评标委员会按照</w:t>
      </w:r>
      <w:r>
        <w:rPr>
          <w:rStyle w:val="6"/>
          <w:rFonts w:hint="eastAsia"/>
          <w:szCs w:val="18"/>
          <w:vertAlign w:val="baseline"/>
        </w:rPr>
        <w:t>本</w:t>
      </w:r>
      <w:r>
        <w:rPr>
          <w:rStyle w:val="6"/>
          <w:szCs w:val="18"/>
          <w:vertAlign w:val="baseline"/>
        </w:rPr>
        <w:t>章</w:t>
      </w:r>
      <w:r>
        <w:rPr>
          <w:rStyle w:val="6"/>
          <w:rFonts w:hint="eastAsia"/>
          <w:szCs w:val="18"/>
          <w:vertAlign w:val="baseline"/>
        </w:rPr>
        <w:t>第3.4.2项和第3</w:t>
      </w:r>
      <w:r>
        <w:rPr>
          <w:rFonts w:hint="eastAsia"/>
          <w:szCs w:val="18"/>
        </w:rPr>
        <w:t>.4.3项</w:t>
      </w:r>
      <w:r>
        <w:rPr>
          <w:rStyle w:val="6"/>
          <w:rFonts w:hint="eastAsia"/>
          <w:szCs w:val="18"/>
          <w:vertAlign w:val="baseline"/>
        </w:rPr>
        <w:t>的</w:t>
      </w:r>
      <w:r>
        <w:rPr>
          <w:rStyle w:val="6"/>
          <w:szCs w:val="18"/>
          <w:vertAlign w:val="baseline"/>
        </w:rPr>
        <w:t>规定</w:t>
      </w:r>
      <w:r>
        <w:rPr>
          <w:rStyle w:val="6"/>
          <w:rFonts w:hint="eastAsia"/>
          <w:szCs w:val="18"/>
          <w:vertAlign w:val="baseline"/>
        </w:rPr>
        <w:t>对投标人的投标报价进行修正。</w:t>
      </w:r>
      <w:r>
        <w:rPr>
          <w:rFonts w:hint="eastAsia"/>
          <w:szCs w:val="18"/>
        </w:rPr>
        <w:t>如</w:t>
      </w:r>
      <w:r>
        <w:rPr>
          <w:rStyle w:val="6"/>
          <w:szCs w:val="18"/>
          <w:vertAlign w:val="baseline"/>
        </w:rPr>
        <w:t>本项目招标</w:t>
      </w:r>
      <w:r>
        <w:rPr>
          <w:rFonts w:hint="eastAsia"/>
          <w:szCs w:val="18"/>
        </w:rPr>
        <w:t>由投标人按照招标人提供的</w:t>
      </w:r>
      <w:r>
        <w:rPr>
          <w:szCs w:val="18"/>
        </w:rPr>
        <w:t>工程量固化清单</w:t>
      </w:r>
      <w:r>
        <w:rPr>
          <w:rFonts w:hint="eastAsia"/>
          <w:szCs w:val="18"/>
        </w:rPr>
        <w:t>电子文件填写工程量清单，无须按照本章第3.4.2项和第3.4.3项的规定对投标报价进行修正，第3.4.2项至第3.4.4项内容不适用。</w:t>
      </w:r>
    </w:p>
    <w:p>
      <w:pPr>
        <w:pStyle w:val="3"/>
        <w:spacing w:line="300" w:lineRule="atLeast"/>
        <w:ind w:left="210" w:hanging="210"/>
        <w:rPr>
          <w:rStyle w:val="6"/>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2UyZTBjYTBjOGEzNjYwNDk3ZjU4YjM2ZjZlNzgifQ=="/>
  </w:docVars>
  <w:rsids>
    <w:rsidRoot w:val="3FF07BB3"/>
    <w:rsid w:val="3FF0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240" w:lineRule="atLeast"/>
      <w:outlineLvl w:val="0"/>
    </w:pPr>
    <w:rPr>
      <w:rFonts w:eastAsia="黑体"/>
      <w:bCs/>
      <w:kern w:val="44"/>
      <w:sz w:val="2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note text"/>
    <w:basedOn w:val="1"/>
    <w:qFormat/>
    <w:uiPriority w:val="0"/>
    <w:pPr>
      <w:adjustRightInd w:val="0"/>
      <w:snapToGrid w:val="0"/>
      <w:spacing w:line="420" w:lineRule="atLeast"/>
      <w:ind w:firstLine="454"/>
      <w:jc w:val="left"/>
      <w:textAlignment w:val="baseline"/>
    </w:pPr>
    <w:rPr>
      <w:kern w:val="0"/>
      <w:sz w:val="18"/>
      <w:szCs w:val="20"/>
    </w:rPr>
  </w:style>
  <w:style w:type="character" w:styleId="6">
    <w:name w:val="footnote reference"/>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2025-04-27T07:50:00Z</dcterms:created>
  <dc:creator>D·Roger^s</dc:creator>
  <cp:lastModifiedBy>D·Roger^s</cp:lastModifiedBy>
  <dcterms:modified xsi:type="dcterms:W3CDTF">2025-04-27T07:53:10Z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BF5F581E2A0149F9933240095F0D7F5D</vt:lpwstr>
  </property>
</Properties>
</file>