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07" w:rsidRPr="00DF6481" w:rsidRDefault="00867BBF" w:rsidP="00114807">
      <w:pPr>
        <w:spacing w:line="590" w:lineRule="exact"/>
        <w:jc w:val="center"/>
        <w:rPr>
          <w:rFonts w:ascii="方正小标宋简体" w:eastAsia="方正小标宋简体"/>
          <w:color w:val="000000" w:themeColor="text1"/>
          <w:spacing w:val="-4"/>
          <w:sz w:val="44"/>
          <w:szCs w:val="44"/>
        </w:rPr>
      </w:pPr>
      <w:r w:rsidRPr="00DF6481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沈阳市</w:t>
      </w:r>
      <w:r w:rsidR="003D06E8" w:rsidRPr="003D06E8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巡游</w:t>
      </w:r>
      <w:r w:rsidR="00B27729" w:rsidRPr="00DF6481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出租汽车驾驶员</w:t>
      </w:r>
    </w:p>
    <w:p w:rsidR="00B27729" w:rsidRPr="00DF6481" w:rsidRDefault="00B27729" w:rsidP="00114807">
      <w:pPr>
        <w:spacing w:line="590" w:lineRule="exact"/>
        <w:jc w:val="center"/>
        <w:rPr>
          <w:rFonts w:ascii="方正小标宋简体" w:eastAsia="方正小标宋简体"/>
          <w:color w:val="000000" w:themeColor="text1"/>
          <w:spacing w:val="-4"/>
          <w:sz w:val="44"/>
          <w:szCs w:val="44"/>
        </w:rPr>
      </w:pPr>
      <w:r w:rsidRPr="00DF6481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从业资格</w:t>
      </w:r>
      <w:r w:rsidR="005845A5" w:rsidRPr="00DF6481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区域</w:t>
      </w:r>
      <w:r w:rsidRPr="00DF6481">
        <w:rPr>
          <w:rFonts w:ascii="方正小标宋简体" w:eastAsia="方正小标宋简体" w:hint="eastAsia"/>
          <w:color w:val="000000" w:themeColor="text1"/>
          <w:spacing w:val="-4"/>
          <w:sz w:val="44"/>
          <w:szCs w:val="44"/>
        </w:rPr>
        <w:t>科目考试大纲</w:t>
      </w:r>
    </w:p>
    <w:p w:rsidR="00CE6608" w:rsidRPr="00436DF6" w:rsidRDefault="00CE6608" w:rsidP="00CE6608">
      <w:pPr>
        <w:spacing w:line="320" w:lineRule="exact"/>
        <w:rPr>
          <w:rFonts w:asciiTheme="minorEastAsia" w:hAnsiTheme="minorEastAsia"/>
          <w:color w:val="000000" w:themeColor="text1"/>
          <w:spacing w:val="-4"/>
          <w:sz w:val="32"/>
          <w:szCs w:val="32"/>
        </w:rPr>
      </w:pPr>
    </w:p>
    <w:p w:rsidR="00B27729" w:rsidRPr="00DF6481" w:rsidRDefault="00B27729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为规范</w:t>
      </w:r>
      <w:r w:rsidR="00817E3C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沈阳市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出租汽车</w:t>
      </w:r>
      <w:r w:rsidR="00CD3233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（简称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CD3233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车）</w:t>
      </w:r>
      <w:r w:rsidR="004A48D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4D1049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="004A48D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科目考试，提高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="004A48D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驾驶员综合素质，根据《交通运输部关于修改〈出租汽车驾驶员从业资格管理规定〉的决定》（交通运输部令2016年第63号）和</w:t>
      </w:r>
      <w:r w:rsidR="00CD3233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《交通部关于改革出租汽车驾驶员从业资格考试有关工作的通知》（交通运输部令2017年第134号）</w:t>
      </w:r>
      <w:r w:rsidR="004A48D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，制定本大纲。</w:t>
      </w:r>
    </w:p>
    <w:p w:rsidR="004A48D0" w:rsidRPr="00DF6481" w:rsidRDefault="00955854" w:rsidP="00045E1B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黑体" w:eastAsia="黑体" w:hint="eastAsia"/>
          <w:color w:val="000000" w:themeColor="text1"/>
          <w:spacing w:val="-4"/>
          <w:sz w:val="32"/>
          <w:szCs w:val="32"/>
        </w:rPr>
        <w:t>一、适用范围</w:t>
      </w:r>
    </w:p>
    <w:p w:rsidR="004A48D0" w:rsidRPr="00DF6481" w:rsidRDefault="004A48D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本大纲适用于在</w:t>
      </w:r>
      <w:r w:rsidR="00753B2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本市</w:t>
      </w:r>
      <w:r w:rsidR="004D1049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行政区域</w:t>
      </w:r>
      <w:r w:rsidR="00955854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内，申请</w:t>
      </w:r>
      <w:r w:rsidR="00B632D9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参加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="00B632D9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从业资格考试</w:t>
      </w:r>
      <w:r w:rsidR="00955854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的驾驶员。</w:t>
      </w:r>
    </w:p>
    <w:p w:rsidR="00B13E64" w:rsidRPr="00DF6481" w:rsidRDefault="00B13E64" w:rsidP="009E25E2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黑体" w:eastAsia="黑体" w:hint="eastAsia"/>
          <w:color w:val="000000" w:themeColor="text1"/>
          <w:spacing w:val="-4"/>
          <w:sz w:val="32"/>
          <w:szCs w:val="32"/>
        </w:rPr>
        <w:t>二、考试组织</w:t>
      </w:r>
    </w:p>
    <w:p w:rsidR="00B13E64" w:rsidRPr="00DF6481" w:rsidRDefault="00F41EC5" w:rsidP="00D34053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沈阳市交通局</w:t>
      </w:r>
      <w:r w:rsidR="00B13E64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负责指导本行政区域内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="003D358E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655E5B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="003D358E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科目考试工作。</w:t>
      </w:r>
    </w:p>
    <w:p w:rsidR="003D358E" w:rsidRPr="00DF6481" w:rsidRDefault="005048DE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沈阳市</w:t>
      </w:r>
      <w:r w:rsidR="0036500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出租汽车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市场管理办公室</w:t>
      </w:r>
      <w:r w:rsidR="0036500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组织实施本行政区域内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="0036500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655E5B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="00365000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科目考试工作。</w:t>
      </w:r>
    </w:p>
    <w:p w:rsidR="00365000" w:rsidRPr="00DF6481" w:rsidRDefault="00365000" w:rsidP="009E25E2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黑体" w:eastAsia="黑体" w:hint="eastAsia"/>
          <w:color w:val="000000" w:themeColor="text1"/>
          <w:spacing w:val="-4"/>
          <w:sz w:val="32"/>
          <w:szCs w:val="32"/>
        </w:rPr>
        <w:t>三、考试方式及要求</w:t>
      </w:r>
    </w:p>
    <w:p w:rsidR="00365000" w:rsidRPr="00DF6481" w:rsidRDefault="0036500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（一）采用计算机系统随机抽题的方式考</w:t>
      </w:r>
      <w:r w:rsidR="00C13295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试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。</w:t>
      </w:r>
    </w:p>
    <w:p w:rsidR="00365000" w:rsidRPr="00DF6481" w:rsidRDefault="0036500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（二）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7C4611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科目考试时间50分钟。</w:t>
      </w:r>
    </w:p>
    <w:p w:rsidR="00365000" w:rsidRPr="00DF6481" w:rsidRDefault="0036500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lastRenderedPageBreak/>
        <w:t>（三）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7C4611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科目考试试题共50道题，题型分为判断题、单项选择题，其中判断题25</w:t>
      </w:r>
      <w:r w:rsidR="00CD0B6A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题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，每题1分；单项选择题25题</w:t>
      </w:r>
      <w:r w:rsidR="00CD0B6A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，每题1分。</w:t>
      </w:r>
    </w:p>
    <w:p w:rsidR="00CD0B6A" w:rsidRPr="00DF6481" w:rsidRDefault="00CD0B6A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（四）</w:t>
      </w:r>
      <w:r w:rsidR="003D06E8" w:rsidRPr="003D06E8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巡游</w:t>
      </w:r>
      <w:r w:rsidR="003D06E8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车</w:t>
      </w:r>
      <w:r w:rsidR="00256A2E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驾驶员从业资格</w:t>
      </w:r>
      <w:r w:rsidR="007C4611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区域</w:t>
      </w:r>
      <w:r w:rsidR="00256A2E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科目考试总分50分，得分40分及以上为合格。</w:t>
      </w:r>
    </w:p>
    <w:p w:rsidR="00256A2E" w:rsidRPr="00DF6481" w:rsidRDefault="00256A2E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（五）每场考试应当不少于2名考核员，考试成绩必须由2名</w:t>
      </w:r>
      <w:proofErr w:type="gramStart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考核员</w:t>
      </w:r>
      <w:proofErr w:type="gramEnd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签字确认。考试成绩应在考试结束10日内公布。</w:t>
      </w:r>
    </w:p>
    <w:p w:rsidR="00256A2E" w:rsidRPr="00DF6481" w:rsidRDefault="003E50AB" w:rsidP="009E25E2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黑体" w:eastAsia="黑体" w:hint="eastAsia"/>
          <w:color w:val="000000" w:themeColor="text1"/>
          <w:spacing w:val="-4"/>
          <w:sz w:val="32"/>
          <w:szCs w:val="32"/>
        </w:rPr>
        <w:t>四、考试内容及要求</w:t>
      </w:r>
    </w:p>
    <w:p w:rsidR="003E50AB" w:rsidRPr="00DF6481" w:rsidRDefault="003E50AB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（一）掌握出租汽车相关政策、法律法规。</w:t>
      </w:r>
    </w:p>
    <w:p w:rsidR="00F41EC5" w:rsidRPr="00DF6481" w:rsidRDefault="00F41EC5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（二）掌握</w:t>
      </w:r>
      <w:r w:rsidR="00A66248" w:rsidRPr="00DF6481">
        <w:rPr>
          <w:rFonts w:ascii="仿宋_GB2312" w:eastAsia="仿宋_GB2312" w:hAnsi="宋体" w:cs="宋体" w:hint="eastAsia"/>
          <w:color w:val="000000" w:themeColor="text1"/>
          <w:spacing w:val="-4"/>
          <w:kern w:val="0"/>
          <w:sz w:val="32"/>
          <w:szCs w:val="32"/>
        </w:rPr>
        <w:t>地方常识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。</w:t>
      </w:r>
    </w:p>
    <w:p w:rsidR="003E50AB" w:rsidRPr="00DF6481" w:rsidRDefault="003E50AB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</w:t>
      </w:r>
      <w:r w:rsidR="00F41EC5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三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）掌握出租汽车服务标准规范。</w:t>
      </w:r>
    </w:p>
    <w:p w:rsidR="003E50AB" w:rsidRPr="00DF6481" w:rsidRDefault="00EB196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</w:t>
      </w:r>
      <w:r w:rsidR="00F41EC5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四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）掌握出租汽车安全运营知识。</w:t>
      </w:r>
    </w:p>
    <w:p w:rsidR="00EB1960" w:rsidRPr="00DF6481" w:rsidRDefault="00EB196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</w:t>
      </w:r>
      <w:r w:rsidR="00F41EC5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五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）理解出租汽车驾驶员职业道德。</w:t>
      </w:r>
    </w:p>
    <w:p w:rsidR="00EB1960" w:rsidRPr="00DF6481" w:rsidRDefault="00EB1960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</w:t>
      </w:r>
      <w:r w:rsidR="00F41EC5"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六</w:t>
      </w: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）熟悉出租汽车运营其他相关知识。</w:t>
      </w:r>
    </w:p>
    <w:p w:rsidR="009666E7" w:rsidRPr="00DF6481" w:rsidRDefault="009666E7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</w:p>
    <w:p w:rsidR="009666E7" w:rsidRPr="00DF6481" w:rsidRDefault="009666E7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</w:p>
    <w:p w:rsidR="009666E7" w:rsidRDefault="009666E7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</w:p>
    <w:p w:rsidR="0062420A" w:rsidRPr="00DF6481" w:rsidRDefault="0062420A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</w:p>
    <w:p w:rsidR="009666E7" w:rsidRPr="00376C36" w:rsidRDefault="009666E7" w:rsidP="00B63466">
      <w:pPr>
        <w:spacing w:line="660" w:lineRule="exact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</w:p>
    <w:p w:rsidR="0002114D" w:rsidRPr="00DF6481" w:rsidRDefault="00945634" w:rsidP="00E11DBC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>
        <w:rPr>
          <w:rFonts w:ascii="黑体" w:eastAsia="黑体" w:hint="eastAsia"/>
          <w:color w:val="000000" w:themeColor="text1"/>
          <w:spacing w:val="-4"/>
          <w:sz w:val="32"/>
          <w:szCs w:val="32"/>
        </w:rPr>
        <w:lastRenderedPageBreak/>
        <w:t>五、考试内容</w:t>
      </w:r>
    </w:p>
    <w:tbl>
      <w:tblPr>
        <w:tblW w:w="5000" w:type="pct"/>
        <w:jc w:val="center"/>
        <w:tblLook w:val="04A0"/>
      </w:tblPr>
      <w:tblGrid>
        <w:gridCol w:w="1952"/>
        <w:gridCol w:w="7108"/>
      </w:tblGrid>
      <w:tr w:rsidR="00773701" w:rsidRPr="00E11DBC" w:rsidTr="00A2120D">
        <w:trPr>
          <w:trHeight w:val="577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01" w:rsidRPr="00854923" w:rsidRDefault="00773701" w:rsidP="000211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pacing w:val="-4"/>
                <w:kern w:val="0"/>
                <w:szCs w:val="21"/>
              </w:rPr>
            </w:pPr>
            <w:r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>考试项目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01" w:rsidRPr="00854923" w:rsidRDefault="00773701" w:rsidP="000211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pacing w:val="-4"/>
                <w:kern w:val="0"/>
                <w:szCs w:val="21"/>
              </w:rPr>
            </w:pPr>
            <w:r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>考</w:t>
            </w:r>
            <w:r w:rsidR="00854923"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>试</w:t>
            </w:r>
            <w:r w:rsidR="00854923"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proofErr w:type="gramStart"/>
            <w:r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>范</w:t>
            </w:r>
            <w:proofErr w:type="gramEnd"/>
            <w:r w:rsidR="00854923"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854923">
              <w:rPr>
                <w:rFonts w:asciiTheme="minorEastAsia" w:hAnsiTheme="minorEastAsia" w:cs="宋体" w:hint="eastAsia"/>
                <w:bCs/>
                <w:color w:val="000000" w:themeColor="text1"/>
                <w:spacing w:val="-4"/>
                <w:kern w:val="0"/>
                <w:szCs w:val="21"/>
              </w:rPr>
              <w:t>围</w:t>
            </w:r>
          </w:p>
        </w:tc>
      </w:tr>
      <w:tr w:rsidR="00A76902" w:rsidRPr="00E11DBC" w:rsidTr="00A2120D">
        <w:trPr>
          <w:trHeight w:val="577"/>
          <w:jc w:val="center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proofErr w:type="gramStart"/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一</w:t>
            </w:r>
            <w:proofErr w:type="gramEnd"/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.政策、法律法规</w:t>
            </w: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6258A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1.《辽宁省客运出租汽车管理条例》</w:t>
            </w:r>
          </w:p>
        </w:tc>
      </w:tr>
      <w:tr w:rsidR="00A76902" w:rsidRPr="00E11DBC" w:rsidTr="00A2120D">
        <w:trPr>
          <w:trHeight w:val="57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6258A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2.《沈阳市客运出租汽车管理办法》</w:t>
            </w:r>
          </w:p>
        </w:tc>
      </w:tr>
      <w:tr w:rsidR="00A76902" w:rsidRPr="00E11DBC" w:rsidTr="00A2120D">
        <w:trPr>
          <w:trHeight w:val="57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6258A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3.《沈阳市客运出租汽车驾驶员服务质量信誉考核管理办法》</w:t>
            </w:r>
          </w:p>
        </w:tc>
      </w:tr>
      <w:tr w:rsidR="00A76902" w:rsidRPr="00E11DBC" w:rsidTr="004C2638">
        <w:trPr>
          <w:trHeight w:val="577"/>
          <w:jc w:val="center"/>
        </w:trPr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1C065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4.《沈阳市出租汽车星级驾驶员管理办法</w:t>
            </w:r>
            <w:r w:rsidR="00447C3C"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（试行）</w:t>
            </w: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》</w:t>
            </w:r>
          </w:p>
        </w:tc>
      </w:tr>
      <w:tr w:rsidR="00A76902" w:rsidRPr="00447C3C" w:rsidTr="00C41520">
        <w:trPr>
          <w:trHeight w:val="577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2" w:rsidRPr="000859A4" w:rsidRDefault="00A76902" w:rsidP="001C0653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5.《沈阳市模范出租汽车管理办法（试行）》</w:t>
            </w:r>
          </w:p>
        </w:tc>
      </w:tr>
      <w:tr w:rsidR="003D06E8" w:rsidRPr="00E11DBC" w:rsidTr="00C41520">
        <w:trPr>
          <w:trHeight w:val="577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A66248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二.地方常识</w:t>
            </w: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沈阳人文地理</w:t>
            </w: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三.服务标准规范</w:t>
            </w:r>
          </w:p>
        </w:tc>
        <w:tc>
          <w:tcPr>
            <w:tcW w:w="39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E11D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服务流程、驾驶员服务要求、特殊人群服务与服务禁忌、服务评价与投诉处理</w:t>
            </w: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747D3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四.安全运营知识</w:t>
            </w:r>
          </w:p>
        </w:tc>
        <w:tc>
          <w:tcPr>
            <w:tcW w:w="39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773701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安全运营生理与心理知识、行车安全与突发情况处置、自我安全防范、常见危险品的基本知识、车辆维护与常见故障处理</w:t>
            </w:r>
          </w:p>
        </w:tc>
      </w:tr>
      <w:tr w:rsidR="003D06E8" w:rsidRPr="00773701" w:rsidTr="00A2120D">
        <w:trPr>
          <w:trHeight w:val="577"/>
          <w:jc w:val="center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39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674B0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五.职业道德</w:t>
            </w: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社会责任与职业道德</w:t>
            </w: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02114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六.其他相关知识</w:t>
            </w:r>
          </w:p>
        </w:tc>
        <w:tc>
          <w:tcPr>
            <w:tcW w:w="39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0859A4" w:rsidRDefault="003D06E8" w:rsidP="00E11D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pacing w:val="-4"/>
                <w:kern w:val="0"/>
                <w:szCs w:val="21"/>
              </w:rPr>
            </w:pPr>
            <w:r w:rsidRPr="000859A4">
              <w:rPr>
                <w:rFonts w:asciiTheme="minorEastAsia" w:hAnsiTheme="minorEastAsia" w:cs="宋体" w:hint="eastAsia"/>
                <w:color w:val="000000" w:themeColor="text1"/>
                <w:spacing w:val="-4"/>
                <w:kern w:val="0"/>
                <w:szCs w:val="21"/>
              </w:rPr>
              <w:t>运价与计程计价设备使用知识、节能与环保知识、交通事故处理、应急保障、消防与乘客救护基本知识、信息安全</w:t>
            </w:r>
          </w:p>
        </w:tc>
      </w:tr>
      <w:tr w:rsidR="003D06E8" w:rsidRPr="00E11DBC" w:rsidTr="00A2120D">
        <w:trPr>
          <w:trHeight w:val="577"/>
          <w:jc w:val="center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E8" w:rsidRPr="00E11DBC" w:rsidRDefault="003D06E8" w:rsidP="0002114D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9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8" w:rsidRPr="00E11DBC" w:rsidRDefault="003D06E8" w:rsidP="007517C8">
            <w:pPr>
              <w:widowControl/>
              <w:jc w:val="left"/>
              <w:rPr>
                <w:rFonts w:ascii="仿宋_GB2312" w:eastAsia="仿宋_GB2312" w:hAnsiTheme="majorEastAsia" w:cs="宋体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</w:tbl>
    <w:p w:rsidR="00061C55" w:rsidRDefault="00F2091F" w:rsidP="00061C55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黑体" w:eastAsia="黑体" w:hint="eastAsia"/>
          <w:color w:val="000000" w:themeColor="text1"/>
          <w:spacing w:val="-4"/>
          <w:sz w:val="32"/>
          <w:szCs w:val="32"/>
        </w:rPr>
        <w:t>六、评分标准</w:t>
      </w:r>
    </w:p>
    <w:p w:rsidR="00F2091F" w:rsidRPr="00061C55" w:rsidRDefault="00F2091F" w:rsidP="00061C55">
      <w:pPr>
        <w:spacing w:line="660" w:lineRule="exact"/>
        <w:ind w:firstLineChars="200" w:firstLine="624"/>
        <w:rPr>
          <w:rFonts w:ascii="黑体" w:eastAsia="黑体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（一）判断题，</w:t>
      </w:r>
      <w:proofErr w:type="gramStart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每错</w:t>
      </w:r>
      <w:proofErr w:type="gramEnd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1题扣1分。</w:t>
      </w:r>
    </w:p>
    <w:p w:rsidR="00F2091F" w:rsidRDefault="00F2091F" w:rsidP="009E25E2">
      <w:pPr>
        <w:spacing w:line="660" w:lineRule="exact"/>
        <w:ind w:firstLineChars="200" w:firstLine="624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（二）单项选择题，</w:t>
      </w:r>
      <w:proofErr w:type="gramStart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每错</w:t>
      </w:r>
      <w:proofErr w:type="gramEnd"/>
      <w:r w:rsidRPr="00DF6481">
        <w:rPr>
          <w:rFonts w:ascii="仿宋_GB2312" w:eastAsia="仿宋_GB2312" w:hint="eastAsia"/>
          <w:color w:val="000000" w:themeColor="text1"/>
          <w:spacing w:val="-4"/>
          <w:sz w:val="32"/>
          <w:szCs w:val="32"/>
        </w:rPr>
        <w:t>1题扣1分。</w:t>
      </w:r>
    </w:p>
    <w:sectPr w:rsidR="00F2091F" w:rsidSect="00DA4363">
      <w:footerReference w:type="even" r:id="rId8"/>
      <w:footerReference w:type="default" r:id="rId9"/>
      <w:pgSz w:w="11906" w:h="16838" w:code="9"/>
      <w:pgMar w:top="1871" w:right="1474" w:bottom="1871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29" w:rsidRDefault="00B27729" w:rsidP="00B27729">
      <w:r>
        <w:separator/>
      </w:r>
    </w:p>
  </w:endnote>
  <w:endnote w:type="continuationSeparator" w:id="1">
    <w:p w:rsidR="00B27729" w:rsidRDefault="00B27729" w:rsidP="00B2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74" w:rsidRDefault="00502974" w:rsidP="00F57A2B">
    <w:pPr>
      <w:pStyle w:val="a4"/>
      <w:ind w:leftChars="200" w:left="420"/>
    </w:pPr>
    <w:r w:rsidRPr="000D6409">
      <w:rPr>
        <w:rFonts w:asciiTheme="minorEastAsia" w:hAnsiTheme="minor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7688706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EC0E35">
          <w:rPr>
            <w:rFonts w:asciiTheme="minorEastAsia" w:hAnsiTheme="minorEastAsia" w:hint="eastAsia"/>
            <w:sz w:val="28"/>
            <w:szCs w:val="28"/>
          </w:rPr>
          <w:t>2</w:t>
        </w:r>
        <w:r w:rsidRPr="000D6409">
          <w:rPr>
            <w:rFonts w:asciiTheme="minorEastAsia" w:hAnsiTheme="minorEastAsia"/>
            <w:sz w:val="28"/>
            <w:szCs w:val="28"/>
          </w:rPr>
          <w:t>－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468522"/>
      <w:docPartObj>
        <w:docPartGallery w:val="Page Numbers (Bottom of Page)"/>
        <w:docPartUnique/>
      </w:docPartObj>
    </w:sdtPr>
    <w:sdtContent>
      <w:p w:rsidR="00502974" w:rsidRDefault="00680348" w:rsidP="00F57A2B">
        <w:pPr>
          <w:pStyle w:val="a4"/>
          <w:ind w:rightChars="200" w:right="420"/>
          <w:jc w:val="right"/>
        </w:pPr>
        <w:r w:rsidRPr="000D6409">
          <w:rPr>
            <w:rFonts w:asciiTheme="minorEastAsia" w:hAnsiTheme="minorEastAsia"/>
            <w:sz w:val="28"/>
            <w:szCs w:val="28"/>
          </w:rPr>
          <w:t>－</w:t>
        </w:r>
        <w:sdt>
          <w:sdtPr>
            <w:rPr>
              <w:rFonts w:asciiTheme="minorEastAsia" w:hAnsiTheme="minorEastAsia"/>
              <w:sz w:val="28"/>
              <w:szCs w:val="28"/>
            </w:rPr>
            <w:id w:val="25430450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D1797C" w:rsidRPr="000D6409"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Pr="000D6409">
              <w:rPr>
                <w:rFonts w:asciiTheme="minorEastAsia" w:hAnsiTheme="minorEastAsia"/>
                <w:sz w:val="28"/>
                <w:szCs w:val="28"/>
              </w:rPr>
              <w:instrText xml:space="preserve"> PAGE   \* MERGEFORMAT </w:instrText>
            </w:r>
            <w:r w:rsidR="00D1797C" w:rsidRPr="000D6409"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854923" w:rsidRPr="00854923">
              <w:rPr>
                <w:rFonts w:asciiTheme="minorEastAsia" w:hAnsiTheme="minorEastAsia"/>
                <w:noProof/>
                <w:sz w:val="28"/>
                <w:szCs w:val="28"/>
                <w:lang w:val="zh-CN"/>
              </w:rPr>
              <w:t>3</w:t>
            </w:r>
            <w:r w:rsidR="00D1797C" w:rsidRPr="000D6409"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0D6409">
              <w:rPr>
                <w:rFonts w:asciiTheme="minorEastAsia" w:hAnsiTheme="minorEastAsia"/>
                <w:sz w:val="28"/>
                <w:szCs w:val="28"/>
              </w:rPr>
              <w:t>－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29" w:rsidRDefault="00B27729" w:rsidP="00B27729">
      <w:r>
        <w:separator/>
      </w:r>
    </w:p>
  </w:footnote>
  <w:footnote w:type="continuationSeparator" w:id="1">
    <w:p w:rsidR="00B27729" w:rsidRDefault="00B27729" w:rsidP="00B27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4EE"/>
    <w:multiLevelType w:val="hybridMultilevel"/>
    <w:tmpl w:val="0522324A"/>
    <w:lvl w:ilvl="0" w:tplc="DB2006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729"/>
    <w:rsid w:val="00016179"/>
    <w:rsid w:val="0002114D"/>
    <w:rsid w:val="00037BF6"/>
    <w:rsid w:val="00045E1B"/>
    <w:rsid w:val="00055F39"/>
    <w:rsid w:val="00061C55"/>
    <w:rsid w:val="00081725"/>
    <w:rsid w:val="000859A4"/>
    <w:rsid w:val="000A6A24"/>
    <w:rsid w:val="000E3A97"/>
    <w:rsid w:val="0010698A"/>
    <w:rsid w:val="00112CD8"/>
    <w:rsid w:val="00114807"/>
    <w:rsid w:val="00123930"/>
    <w:rsid w:val="00135AB0"/>
    <w:rsid w:val="00142C54"/>
    <w:rsid w:val="0016383C"/>
    <w:rsid w:val="001818CC"/>
    <w:rsid w:val="00183720"/>
    <w:rsid w:val="001A3F59"/>
    <w:rsid w:val="001B1713"/>
    <w:rsid w:val="001C0653"/>
    <w:rsid w:val="00211E1D"/>
    <w:rsid w:val="00245185"/>
    <w:rsid w:val="00256A2E"/>
    <w:rsid w:val="00257E93"/>
    <w:rsid w:val="002861BA"/>
    <w:rsid w:val="00292FBC"/>
    <w:rsid w:val="002F0AB1"/>
    <w:rsid w:val="00310923"/>
    <w:rsid w:val="003210AC"/>
    <w:rsid w:val="003365B4"/>
    <w:rsid w:val="00365000"/>
    <w:rsid w:val="003711A4"/>
    <w:rsid w:val="00376C36"/>
    <w:rsid w:val="003C2C29"/>
    <w:rsid w:val="003C71C4"/>
    <w:rsid w:val="003C77AB"/>
    <w:rsid w:val="003D06E8"/>
    <w:rsid w:val="003D358E"/>
    <w:rsid w:val="003E50AB"/>
    <w:rsid w:val="00411889"/>
    <w:rsid w:val="00416290"/>
    <w:rsid w:val="004305E1"/>
    <w:rsid w:val="00436DF6"/>
    <w:rsid w:val="00447C3C"/>
    <w:rsid w:val="00451A1F"/>
    <w:rsid w:val="004A20AA"/>
    <w:rsid w:val="004A48D0"/>
    <w:rsid w:val="004C7E8D"/>
    <w:rsid w:val="004D1049"/>
    <w:rsid w:val="00502974"/>
    <w:rsid w:val="005048DE"/>
    <w:rsid w:val="00507151"/>
    <w:rsid w:val="005354E6"/>
    <w:rsid w:val="00564258"/>
    <w:rsid w:val="005778E7"/>
    <w:rsid w:val="005845A5"/>
    <w:rsid w:val="00585086"/>
    <w:rsid w:val="005912EC"/>
    <w:rsid w:val="005D31CF"/>
    <w:rsid w:val="005D4E6B"/>
    <w:rsid w:val="005E77D3"/>
    <w:rsid w:val="0061017F"/>
    <w:rsid w:val="0062420A"/>
    <w:rsid w:val="00627F1C"/>
    <w:rsid w:val="00655E5B"/>
    <w:rsid w:val="00674B0A"/>
    <w:rsid w:val="00675958"/>
    <w:rsid w:val="00680348"/>
    <w:rsid w:val="006A017A"/>
    <w:rsid w:val="006A3B89"/>
    <w:rsid w:val="006C7593"/>
    <w:rsid w:val="00722A9B"/>
    <w:rsid w:val="00737897"/>
    <w:rsid w:val="00747D36"/>
    <w:rsid w:val="00753B20"/>
    <w:rsid w:val="00756184"/>
    <w:rsid w:val="00773701"/>
    <w:rsid w:val="007875D4"/>
    <w:rsid w:val="007C4611"/>
    <w:rsid w:val="007F5A48"/>
    <w:rsid w:val="008130DA"/>
    <w:rsid w:val="00817E3C"/>
    <w:rsid w:val="00854923"/>
    <w:rsid w:val="00867BBF"/>
    <w:rsid w:val="00867C85"/>
    <w:rsid w:val="00895439"/>
    <w:rsid w:val="008B1D2B"/>
    <w:rsid w:val="00945634"/>
    <w:rsid w:val="00955854"/>
    <w:rsid w:val="009666E7"/>
    <w:rsid w:val="009E25E2"/>
    <w:rsid w:val="009F1C4D"/>
    <w:rsid w:val="009F3333"/>
    <w:rsid w:val="00A2120D"/>
    <w:rsid w:val="00A27376"/>
    <w:rsid w:val="00A37910"/>
    <w:rsid w:val="00A66248"/>
    <w:rsid w:val="00A7226B"/>
    <w:rsid w:val="00A76902"/>
    <w:rsid w:val="00A81E56"/>
    <w:rsid w:val="00AE192D"/>
    <w:rsid w:val="00B13E64"/>
    <w:rsid w:val="00B27729"/>
    <w:rsid w:val="00B632D9"/>
    <w:rsid w:val="00B63466"/>
    <w:rsid w:val="00BA5294"/>
    <w:rsid w:val="00BD495E"/>
    <w:rsid w:val="00C05B24"/>
    <w:rsid w:val="00C13295"/>
    <w:rsid w:val="00C16ABF"/>
    <w:rsid w:val="00C41520"/>
    <w:rsid w:val="00C771B4"/>
    <w:rsid w:val="00C77393"/>
    <w:rsid w:val="00C80FDC"/>
    <w:rsid w:val="00CD0B6A"/>
    <w:rsid w:val="00CD3233"/>
    <w:rsid w:val="00CE4AF2"/>
    <w:rsid w:val="00CE6608"/>
    <w:rsid w:val="00CF2240"/>
    <w:rsid w:val="00D1797C"/>
    <w:rsid w:val="00D22994"/>
    <w:rsid w:val="00D34053"/>
    <w:rsid w:val="00D4072B"/>
    <w:rsid w:val="00D56870"/>
    <w:rsid w:val="00D6432F"/>
    <w:rsid w:val="00DA4363"/>
    <w:rsid w:val="00DF6481"/>
    <w:rsid w:val="00E11DBC"/>
    <w:rsid w:val="00E42829"/>
    <w:rsid w:val="00E560CF"/>
    <w:rsid w:val="00E6241C"/>
    <w:rsid w:val="00E71C5B"/>
    <w:rsid w:val="00EA74CA"/>
    <w:rsid w:val="00EB1960"/>
    <w:rsid w:val="00EB2101"/>
    <w:rsid w:val="00EC0E35"/>
    <w:rsid w:val="00EF1B5A"/>
    <w:rsid w:val="00F2091F"/>
    <w:rsid w:val="00F41EC5"/>
    <w:rsid w:val="00F457A3"/>
    <w:rsid w:val="00F57A2B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729"/>
    <w:rPr>
      <w:sz w:val="18"/>
      <w:szCs w:val="18"/>
    </w:rPr>
  </w:style>
  <w:style w:type="paragraph" w:styleId="a5">
    <w:name w:val="List Paragraph"/>
    <w:basedOn w:val="a"/>
    <w:uiPriority w:val="34"/>
    <w:qFormat/>
    <w:rsid w:val="004A48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A687-AFD4-4190-93DD-1586C782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165</cp:revision>
  <dcterms:created xsi:type="dcterms:W3CDTF">2017-09-29T04:02:00Z</dcterms:created>
  <dcterms:modified xsi:type="dcterms:W3CDTF">2017-11-10T06:43:00Z</dcterms:modified>
</cp:coreProperties>
</file>